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22DC6">
      <w:pPr>
        <w:pStyle w:val="56"/>
        <w:jc w:val="left"/>
        <w:rPr>
          <w:rFonts w:hint="eastAsia"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31</w:t>
      </w:r>
      <w:r>
        <w:rPr>
          <w:b/>
          <w:sz w:val="20"/>
          <w:szCs w:val="20"/>
        </w:rPr>
        <w:tab/>
      </w:r>
      <w:r>
        <w:rPr>
          <w:rFonts w:hint="eastAsia"/>
          <w:b/>
          <w:sz w:val="20"/>
          <w:szCs w:val="20"/>
        </w:rPr>
        <w:t>R2-2505958</w:t>
      </w:r>
      <w:bookmarkStart w:id="13" w:name="_GoBack"/>
      <w:bookmarkEnd w:id="13"/>
    </w:p>
    <w:p w14:paraId="101DF72A">
      <w:pPr>
        <w:pStyle w:val="56"/>
        <w:jc w:val="left"/>
        <w:rPr>
          <w:rFonts w:hint="eastAsia" w:cs="Arial"/>
          <w:sz w:val="20"/>
          <w:szCs w:val="20"/>
        </w:rPr>
      </w:pPr>
      <w:r>
        <w:rPr>
          <w:rFonts w:hint="eastAsia" w:cs="Arial"/>
          <w:sz w:val="20"/>
        </w:rPr>
        <w:t xml:space="preserve">Bangalore,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0F5469E6">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14:paraId="00A32A1F">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14:paraId="3DC19ECF">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Discussion</w:t>
      </w:r>
      <w:r>
        <w:rPr>
          <w:rFonts w:hint="eastAsia" w:cs="Arial" w:eastAsiaTheme="minorEastAsia"/>
          <w:sz w:val="20"/>
          <w:szCs w:val="20"/>
          <w:lang w:val="en-US" w:eastAsia="zh-CN"/>
        </w:rPr>
        <w:t xml:space="preserve"> on remaining issues of uplink capacity enhancement for IoT-NTN</w:t>
      </w:r>
    </w:p>
    <w:p w14:paraId="4FA93800">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14:paraId="219E3B8B">
      <w:pPr>
        <w:pStyle w:val="2"/>
        <w:rPr>
          <w:rFonts w:cs="Arial"/>
          <w:sz w:val="32"/>
          <w:szCs w:val="32"/>
        </w:rPr>
      </w:pPr>
      <w:r>
        <w:rPr>
          <w:rFonts w:cs="Arial"/>
          <w:sz w:val="32"/>
          <w:szCs w:val="32"/>
        </w:rPr>
        <w:t>Introduction</w:t>
      </w:r>
    </w:p>
    <w:p w14:paraId="415384C8">
      <w:pPr>
        <w:numPr>
          <w:ilvl w:val="0"/>
          <w:numId w:val="0"/>
        </w:numPr>
        <w:spacing w:after="0"/>
        <w:rPr>
          <w:rFonts w:hint="default" w:eastAsiaTheme="minorEastAsia"/>
          <w:lang w:val="en-US"/>
        </w:rPr>
      </w:pPr>
      <w:r>
        <w:rPr>
          <w:rFonts w:hint="eastAsia" w:eastAsia="宋体"/>
          <w:bCs/>
          <w:lang w:val="en-US" w:eastAsia="zh-CN"/>
        </w:rPr>
        <w:t xml:space="preserve">In last meeting, there were some discussions on uplink capacity enhancements for IoT-NTN and achieved some agreements[1]. </w:t>
      </w:r>
      <w:r>
        <w:rPr>
          <w:rFonts w:hint="eastAsia" w:cs="Arial" w:eastAsiaTheme="minorEastAsia"/>
          <w:lang w:val="en-US" w:eastAsia="zh-CN"/>
        </w:rPr>
        <w:t>And 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w:t>
      </w:r>
      <w:r>
        <w:rPr>
          <w:rFonts w:hint="eastAsia" w:eastAsia="宋体" w:cs="Arial"/>
          <w:lang w:val="en-US" w:eastAsia="zh-CN"/>
        </w:rPr>
        <w:t xml:space="preserve"> on the remaining issues for CB-msg3-EDT.</w:t>
      </w:r>
    </w:p>
    <w:p w14:paraId="0C8C6AEF">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12419CC8">
      <w:pPr>
        <w:pStyle w:val="3"/>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1"/>
        <w:rPr>
          <w:rFonts w:hint="default" w:eastAsiaTheme="minorEastAsia"/>
          <w:b/>
          <w:bCs/>
          <w:sz w:val="24"/>
          <w:szCs w:val="24"/>
          <w:u w:val="none"/>
          <w:lang w:val="en-US" w:eastAsia="zh-CN"/>
        </w:rPr>
      </w:pPr>
      <w:r>
        <w:rPr>
          <w:rFonts w:hint="eastAsia" w:eastAsiaTheme="minorEastAsia"/>
          <w:b/>
          <w:bCs/>
          <w:sz w:val="24"/>
          <w:szCs w:val="24"/>
          <w:u w:val="none"/>
          <w:lang w:val="en-US" w:eastAsia="zh-CN"/>
        </w:rPr>
        <w:t>(MAC-2): CB-RNTI calculation</w:t>
      </w:r>
    </w:p>
    <w:p w14:paraId="52E2B76B">
      <w:pPr>
        <w:pStyle w:val="60"/>
        <w:spacing w:after="0"/>
        <w:ind w:left="0" w:firstLine="0"/>
        <w:rPr>
          <w:lang w:val="en-US" w:eastAsia="ko-KR"/>
        </w:rPr>
      </w:pPr>
      <w:r>
        <w:rPr>
          <w:rFonts w:hint="eastAsia" w:eastAsiaTheme="minorEastAsia"/>
          <w:b w:val="0"/>
          <w:bCs w:val="0"/>
          <w:sz w:val="20"/>
          <w:szCs w:val="20"/>
          <w:lang w:val="en-US" w:eastAsia="zh-CN"/>
        </w:rPr>
        <w:t>For CB-RNTI calculation, a working assumption is reached as following:</w:t>
      </w:r>
    </w:p>
    <w:p w14:paraId="7605562D">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Working Assumption:</w:t>
      </w:r>
    </w:p>
    <w:p w14:paraId="55906671">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The formula for RNTI for mMsg4 monitoring is:</w:t>
      </w:r>
    </w:p>
    <w:p w14:paraId="1C836325">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 xml:space="preserve">RNTI=X + Msg3_W_index modulo (Y) + Y*CE_level + 3*Y*carrier_id. </w:t>
      </w:r>
    </w:p>
    <w:p w14:paraId="71CE5F83">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X is the starting RNTI for Msg4 reception, which can be defined by RAN2 e.g. X=2401 for eMTC or 4097 for NB-IoT,</w:t>
      </w:r>
    </w:p>
    <w:p w14:paraId="1BB8AE4F">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Msg3_W_index is the index of Msg3 transmission window within a periodicity of 1024 SFNs and index 0 corresponds to the Msg3 transmission window starts at the SFN defined by IE startSFN-r19,</w:t>
      </w:r>
    </w:p>
    <w:p w14:paraId="16CB4526">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Y is ceil (Msg4_WS/Msg3_WP), </w:t>
      </w:r>
    </w:p>
    <w:p w14:paraId="651442FA">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CE_level is the CE level, 0 &lt;= CE_level &lt; 3 </w:t>
      </w:r>
    </w:p>
    <w:p w14:paraId="747B5413">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carrier_id is the index of the UL carrier of the CB-Msg3 resources, anchor carrier has index 0, </w:t>
      </w:r>
    </w:p>
    <w:p w14:paraId="3D5EFA1A">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0 &lt;= carrier_id &lt; 16</w:t>
      </w:r>
    </w:p>
    <w:p w14:paraId="5BAC257D">
      <w:pPr>
        <w:pStyle w:val="54"/>
        <w:pBdr>
          <w:top w:val="single" w:color="auto" w:sz="4" w:space="1"/>
          <w:left w:val="single" w:color="auto" w:sz="4" w:space="4"/>
          <w:bottom w:val="single" w:color="auto" w:sz="4" w:space="1"/>
          <w:right w:val="single" w:color="auto" w:sz="4" w:space="4"/>
        </w:pBdr>
        <w:rPr>
          <w:highlight w:val="yellow"/>
          <w:lang w:val="en-US" w:eastAsia="ko-KR"/>
        </w:rPr>
      </w:pPr>
      <w:r>
        <w:rPr>
          <w:highlight w:val="yellow"/>
          <w:lang w:val="en-US" w:eastAsia="ko-KR"/>
        </w:rPr>
        <w:t>Can come back to check if the NW can also simply configure RNTI = X</w:t>
      </w:r>
    </w:p>
    <w:p w14:paraId="496E4D75">
      <w:pPr>
        <w:pStyle w:val="54"/>
        <w:pBdr>
          <w:top w:val="single" w:color="auto" w:sz="4" w:space="1"/>
          <w:left w:val="single" w:color="auto" w:sz="4" w:space="4"/>
          <w:bottom w:val="single" w:color="auto" w:sz="4" w:space="1"/>
          <w:right w:val="single" w:color="auto" w:sz="4" w:space="4"/>
        </w:pBdr>
        <w:rPr>
          <w:lang w:val="en-US" w:eastAsia="ko-KR"/>
        </w:rPr>
      </w:pPr>
    </w:p>
    <w:p w14:paraId="4B9D6A37">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Agreements – part 2:</w:t>
      </w:r>
    </w:p>
    <w:p w14:paraId="39F23CA9">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1.</w:t>
      </w:r>
      <w:r>
        <w:rPr>
          <w:lang w:val="en-US" w:eastAsia="ko-KR"/>
        </w:rPr>
        <w:tab/>
      </w:r>
      <w:r>
        <w:rPr>
          <w:lang w:val="en-US" w:eastAsia="ko-KR"/>
        </w:rPr>
        <w:t>The value of X is 4097 for NB-IoT and 2401 for eMTC</w:t>
      </w:r>
    </w:p>
    <w:p w14:paraId="0F55F3CC">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2.</w:t>
      </w:r>
      <w:r>
        <w:rPr>
          <w:lang w:val="en-US" w:eastAsia="ko-KR"/>
        </w:rPr>
        <w:tab/>
      </w:r>
      <w:r>
        <w:rPr>
          <w:lang w:val="en-US" w:eastAsia="ko-KR"/>
        </w:rPr>
        <w:t>The value of Msg4_WS is the maximum Msg4 window size</w:t>
      </w:r>
    </w:p>
    <w:p w14:paraId="187C4053">
      <w:pPr>
        <w:pStyle w:val="54"/>
        <w:pBdr>
          <w:top w:val="single" w:color="auto" w:sz="4" w:space="1"/>
          <w:left w:val="single" w:color="auto" w:sz="4" w:space="4"/>
          <w:bottom w:val="single" w:color="auto" w:sz="4" w:space="1"/>
          <w:right w:val="single" w:color="auto" w:sz="4" w:space="4"/>
        </w:pBdr>
        <w:rPr>
          <w:lang w:val="en-US" w:eastAsia="ko-KR"/>
        </w:rPr>
      </w:pPr>
      <w:r>
        <w:rPr>
          <w:lang w:val="en-US" w:eastAsia="ko-KR"/>
        </w:rPr>
        <w:t>3.</w:t>
      </w:r>
      <w:r>
        <w:rPr>
          <w:lang w:val="en-US" w:eastAsia="ko-KR"/>
        </w:rPr>
        <w:tab/>
      </w:r>
      <w:r>
        <w:rPr>
          <w:lang w:val="en-US" w:eastAsia="ko-KR"/>
        </w:rPr>
        <w:t>The value of Msg3_WP is the minimum Msg3 window periodicity</w:t>
      </w:r>
    </w:p>
    <w:p w14:paraId="28B19759">
      <w:pPr>
        <w:pStyle w:val="54"/>
        <w:ind w:left="0" w:firstLine="0"/>
        <w:rPr>
          <w:rFonts w:hint="default" w:eastAsia="宋体"/>
          <w:lang w:val="en-US" w:eastAsia="zh-CN"/>
        </w:rPr>
      </w:pPr>
      <w:r>
        <w:rPr>
          <w:rFonts w:hint="eastAsia" w:eastAsia="宋体"/>
          <w:lang w:val="en-US" w:eastAsia="zh-CN"/>
        </w:rPr>
        <w:t xml:space="preserve">Per the MAC open issues discussion [2], most companies agree to confirm the CB-RNTI calculation WA, and no need have an alternative to configure RNTI = X due to the potential false alarm issue. And the following two issues needs further discussion: </w:t>
      </w:r>
    </w:p>
    <w:p w14:paraId="10149775">
      <w:pPr>
        <w:pStyle w:val="109"/>
        <w:numPr>
          <w:ilvl w:val="0"/>
          <w:numId w:val="11"/>
        </w:numPr>
        <w:spacing w:after="0"/>
        <w:rPr>
          <w:rFonts w:ascii="Arial" w:hAnsi="Arial" w:cs="Arial"/>
          <w:b w:val="0"/>
          <w:bCs w:val="0"/>
          <w:sz w:val="20"/>
          <w:szCs w:val="20"/>
          <w:lang w:val="en-GB" w:eastAsia="sv-SE"/>
        </w:rPr>
      </w:pPr>
      <w:r>
        <w:rPr>
          <w:rFonts w:ascii="Arial" w:hAnsi="Arial" w:cs="Arial"/>
          <w:b w:val="0"/>
          <w:bCs w:val="0"/>
          <w:sz w:val="20"/>
          <w:szCs w:val="20"/>
          <w:lang w:val="en-GB" w:eastAsia="sv-SE"/>
        </w:rPr>
        <w:t>Whether to define Msg3_W_index to floor(start SFN_id of Tx window / minimum Tx window length or periodicity]</w:t>
      </w:r>
    </w:p>
    <w:p w14:paraId="319D667E">
      <w:pPr>
        <w:pStyle w:val="109"/>
        <w:numPr>
          <w:ilvl w:val="0"/>
          <w:numId w:val="11"/>
        </w:numPr>
        <w:spacing w:after="0"/>
        <w:rPr>
          <w:rFonts w:ascii="Arial" w:hAnsi="Arial" w:cs="Arial"/>
          <w:b w:val="0"/>
          <w:bCs w:val="0"/>
          <w:sz w:val="20"/>
          <w:szCs w:val="20"/>
          <w:lang w:val="en-GB" w:eastAsia="sv-SE"/>
        </w:rPr>
      </w:pPr>
      <w:r>
        <w:rPr>
          <w:rFonts w:ascii="Arial" w:hAnsi="Arial" w:cs="Arial"/>
          <w:b w:val="0"/>
          <w:bCs w:val="0"/>
          <w:sz w:val="20"/>
          <w:szCs w:val="20"/>
          <w:lang w:val="en-GB" w:eastAsia="sv-SE"/>
        </w:rPr>
        <w:t>Whether to define Y = 16.</w:t>
      </w:r>
    </w:p>
    <w:p w14:paraId="6920A124">
      <w:pPr>
        <w:pStyle w:val="54"/>
        <w:ind w:left="0" w:firstLine="0"/>
        <w:rPr>
          <w:rFonts w:hint="eastAsia" w:eastAsia="宋体" w:cs="Arial"/>
          <w:b w:val="0"/>
          <w:bCs w:val="0"/>
          <w:sz w:val="20"/>
          <w:szCs w:val="20"/>
          <w:lang w:val="en-US" w:eastAsia="zh-CN"/>
        </w:rPr>
      </w:pPr>
      <w:r>
        <w:rPr>
          <w:rFonts w:hint="eastAsia" w:eastAsia="宋体" w:cs="Arial"/>
          <w:b w:val="0"/>
          <w:bCs w:val="0"/>
          <w:sz w:val="20"/>
          <w:szCs w:val="20"/>
          <w:lang w:val="en-US" w:eastAsia="zh-CN"/>
        </w:rPr>
        <w:t xml:space="preserve">Per the legacy RA-RNTI calculation, where </w:t>
      </w:r>
      <w:r>
        <w:rPr>
          <w:rFonts w:cs="Arial"/>
          <w:bCs/>
          <w:lang w:eastAsia="zh-CN"/>
        </w:rPr>
        <w:t>floor(</w:t>
      </w:r>
      <w:r>
        <w:rPr>
          <w:rFonts w:eastAsia="MS PGothic" w:cs="Arial"/>
          <w:bCs/>
        </w:rPr>
        <w:t>SFN_id/4</w:t>
      </w:r>
      <w:r>
        <w:rPr>
          <w:rFonts w:cs="Arial"/>
          <w:bCs/>
          <w:lang w:eastAsia="zh-CN"/>
        </w:rPr>
        <w:t>)</w:t>
      </w:r>
      <w:r>
        <w:rPr>
          <w:rFonts w:hint="eastAsia" w:cs="Arial"/>
          <w:bCs/>
          <w:lang w:val="en-US" w:eastAsia="zh-CN"/>
        </w:rPr>
        <w:t xml:space="preserve"> factor is used, and 4 is related to </w:t>
      </w:r>
      <w:r>
        <w:rPr>
          <w:rFonts w:ascii="Arial" w:hAnsi="Arial" w:eastAsia="MS PGothic" w:cs="Arial"/>
          <w:bCs/>
          <w:sz w:val="20"/>
          <w:szCs w:val="20"/>
          <w:lang w:val="en-GB"/>
        </w:rPr>
        <w:t>PRACH resource periodicity</w:t>
      </w:r>
      <w:r>
        <w:rPr>
          <w:rFonts w:hint="eastAsia" w:eastAsia="宋体" w:cs="Arial"/>
          <w:bCs/>
          <w:sz w:val="20"/>
          <w:szCs w:val="20"/>
          <w:lang w:val="en-US" w:eastAsia="zh-CN"/>
        </w:rPr>
        <w:t>. Therefore</w:t>
      </w:r>
      <w:r>
        <w:rPr>
          <w:rFonts w:hint="eastAsia" w:eastAsia="宋体" w:cs="Arial"/>
          <w:b w:val="0"/>
          <w:bCs w:val="0"/>
          <w:sz w:val="20"/>
          <w:szCs w:val="20"/>
          <w:lang w:val="en-US" w:eastAsia="zh-CN"/>
        </w:rPr>
        <w:t xml:space="preserve"> we also could consider a similar solution to use floor(start SFN_id of Tx window / minimum Tx window periodicity] instead of the </w:t>
      </w:r>
      <w:r>
        <w:rPr>
          <w:rFonts w:ascii="Arial" w:hAnsi="Arial" w:cs="Arial"/>
          <w:b w:val="0"/>
          <w:bCs w:val="0"/>
          <w:sz w:val="20"/>
          <w:szCs w:val="20"/>
          <w:lang w:val="en-GB" w:eastAsia="sv-SE"/>
        </w:rPr>
        <w:t>Msg3_W_index</w:t>
      </w:r>
      <w:r>
        <w:rPr>
          <w:rFonts w:hint="eastAsia" w:eastAsia="宋体" w:cs="Arial"/>
          <w:b w:val="0"/>
          <w:bCs w:val="0"/>
          <w:sz w:val="20"/>
          <w:szCs w:val="20"/>
          <w:lang w:val="en-US" w:eastAsia="zh-CN"/>
        </w:rPr>
        <w:t>.</w:t>
      </w:r>
    </w:p>
    <w:p w14:paraId="120B6913">
      <w:pPr>
        <w:pStyle w:val="54"/>
        <w:ind w:left="0" w:firstLine="0"/>
        <w:rPr>
          <w:rFonts w:hint="default" w:cs="Arial" w:eastAsiaTheme="minorEastAsia"/>
          <w:b w:val="0"/>
          <w:bCs w:val="0"/>
          <w:sz w:val="20"/>
          <w:szCs w:val="20"/>
          <w:lang w:val="en-US" w:eastAsia="zh-CN"/>
        </w:rPr>
      </w:pPr>
      <w:r>
        <w:rPr>
          <w:rFonts w:hint="eastAsia" w:eastAsia="宋体" w:cs="Arial"/>
          <w:b w:val="0"/>
          <w:bCs w:val="0"/>
          <w:sz w:val="20"/>
          <w:szCs w:val="20"/>
          <w:lang w:val="en-US" w:eastAsia="zh-CN"/>
        </w:rPr>
        <w:t xml:space="preserve">Then for Y, whether to define the Y = 16 to instead the current Y which is ceil </w:t>
      </w:r>
      <w:r>
        <w:rPr>
          <w:lang w:val="en-US" w:eastAsia="ko-KR"/>
        </w:rPr>
        <w:t>(Msg4_WS/Msg3_WP)</w:t>
      </w:r>
      <w:r>
        <w:rPr>
          <w:rFonts w:hint="eastAsia" w:eastAsia="宋体"/>
          <w:lang w:val="en-US" w:eastAsia="zh-CN"/>
        </w:rPr>
        <w:t xml:space="preserve"> where </w:t>
      </w:r>
      <w:r>
        <w:rPr>
          <w:lang w:val="en-US" w:eastAsia="ko-KR"/>
        </w:rPr>
        <w:t>Msg4_WS is the maximum Msg4 window size</w:t>
      </w:r>
      <w:r>
        <w:rPr>
          <w:rFonts w:hint="eastAsia" w:eastAsia="宋体"/>
          <w:lang w:val="en-US" w:eastAsia="zh-CN"/>
        </w:rPr>
        <w:t xml:space="preserve"> and Msg3_WP is the minimum Msg3 window periodicity. From our perspective, there seems no obvious gain to make such kind of modification. Therefore it is preferred to leave it as the current calculation formula.</w:t>
      </w:r>
    </w:p>
    <w:p w14:paraId="58D21CE7">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 (MAC-2) Confirm the CB-RNTI calculation working assumption.</w:t>
      </w:r>
    </w:p>
    <w:p w14:paraId="5C136FE2">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(MAC-2) It is proposed to use floor(start SFN_id of Tx window / minimum Tx window periodicity] instead of the Msg3_W_index.</w:t>
      </w:r>
    </w:p>
    <w:p w14:paraId="3679F5B9">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3: (MAC-2) For Y, it is preferred to leave it as the current calculation formula.</w:t>
      </w:r>
    </w:p>
    <w:p w14:paraId="11507D04">
      <w:pPr>
        <w:pStyle w:val="3"/>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1"/>
        <w:rPr>
          <w:rFonts w:hint="default" w:eastAsiaTheme="minorEastAsia"/>
          <w:b/>
          <w:bCs/>
          <w:sz w:val="24"/>
          <w:szCs w:val="24"/>
          <w:u w:val="none"/>
          <w:lang w:val="en-US" w:eastAsia="zh-CN"/>
        </w:rPr>
      </w:pPr>
      <w:r>
        <w:rPr>
          <w:rFonts w:hint="eastAsia" w:eastAsiaTheme="minorEastAsia"/>
          <w:b/>
          <w:bCs/>
          <w:sz w:val="24"/>
          <w:szCs w:val="24"/>
          <w:u w:val="none"/>
          <w:lang w:val="en-US" w:eastAsia="zh-CN"/>
        </w:rPr>
        <w:t>(MAC-6): The power ramping parameters and how the power ramping is done</w:t>
      </w:r>
    </w:p>
    <w:p w14:paraId="06D1BA5F">
      <w:pPr>
        <w:pStyle w:val="60"/>
        <w:spacing w:after="0"/>
        <w:ind w:left="0" w:firstLine="0"/>
        <w:rPr>
          <w:rFonts w:hint="eastAsia" w:eastAsia="宋体"/>
          <w:b w:val="0"/>
          <w:bCs/>
          <w:i w:val="0"/>
          <w:iCs w:val="0"/>
          <w:lang w:val="en-US" w:eastAsia="zh-CN"/>
        </w:rPr>
      </w:pPr>
      <w:r>
        <w:rPr>
          <w:rFonts w:hint="eastAsia" w:eastAsia="宋体"/>
          <w:b w:val="0"/>
          <w:bCs/>
          <w:i w:val="0"/>
          <w:iCs w:val="0"/>
          <w:lang w:val="en-US" w:eastAsia="zh-CN"/>
        </w:rPr>
        <w:t>In RAN2 #129bis meeting, we sent an LS [3] including power ramping support to check with RAN1 and request the the L1 parameters, and in RAN1 #121 meeting, they discuss the RAN2 LS and feedback a reply LS [4]:</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154F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B00A054">
            <w:pPr>
              <w:rPr>
                <w:rFonts w:ascii="Arial" w:hAnsi="Arial" w:cs="Arial"/>
                <w:b/>
                <w:bCs/>
                <w:iCs/>
                <w:sz w:val="20"/>
                <w:szCs w:val="20"/>
                <w:lang w:val="en-US" w:eastAsia="zh-CN"/>
              </w:rPr>
            </w:pPr>
            <w:bookmarkStart w:id="3" w:name="OLE_LINK18"/>
            <w:r>
              <w:rPr>
                <w:rFonts w:ascii="Arial" w:hAnsi="Arial" w:cs="Arial"/>
                <w:b/>
                <w:bCs/>
                <w:iCs/>
                <w:sz w:val="20"/>
                <w:szCs w:val="20"/>
                <w:lang w:val="en-US" w:eastAsia="zh-CN"/>
              </w:rPr>
              <w:t>Reply to Q1:</w:t>
            </w:r>
          </w:p>
          <w:p w14:paraId="5D45D499">
            <w:pPr>
              <w:overflowPunct/>
              <w:autoSpaceDE/>
              <w:autoSpaceDN/>
              <w:adjustRightInd/>
              <w:contextualSpacing/>
              <w:textAlignment w:val="auto"/>
              <w:rPr>
                <w:rFonts w:ascii="Arial" w:hAnsi="Arial" w:cs="Arial"/>
                <w:bCs/>
                <w:iCs/>
                <w:sz w:val="20"/>
                <w:szCs w:val="20"/>
                <w:lang w:val="en-US" w:eastAsia="zh-CN"/>
              </w:rPr>
            </w:pPr>
            <w:r>
              <w:rPr>
                <w:rFonts w:ascii="Arial" w:hAnsi="Arial" w:cs="Arial"/>
                <w:bCs/>
                <w:iCs/>
                <w:sz w:val="20"/>
                <w:szCs w:val="20"/>
                <w:lang w:val="en-US" w:eastAsia="zh-CN"/>
              </w:rPr>
              <w:t>RAN1 has not evaluated the potential performance of power ramping for CB-msg3-EDT, and it is likely that there will not be sufficient time to evaluate this topic within the R19 timeframe</w:t>
            </w:r>
          </w:p>
          <w:p w14:paraId="3296CD26">
            <w:pPr>
              <w:pStyle w:val="109"/>
              <w:numPr>
                <w:ilvl w:val="0"/>
                <w:numId w:val="12"/>
              </w:numPr>
              <w:overflowPunct/>
              <w:autoSpaceDE/>
              <w:autoSpaceDN/>
              <w:adjustRightInd/>
              <w:contextualSpacing/>
              <w:textAlignment w:val="auto"/>
              <w:rPr>
                <w:rFonts w:ascii="Arial" w:hAnsi="Arial" w:cs="Arial"/>
                <w:bCs/>
                <w:sz w:val="20"/>
                <w:szCs w:val="20"/>
                <w:lang w:val="en-US" w:eastAsia="zh-CN"/>
              </w:rPr>
            </w:pPr>
            <w:r>
              <w:rPr>
                <w:rFonts w:ascii="Arial" w:hAnsi="Arial" w:cs="Arial"/>
                <w:bCs/>
                <w:iCs/>
                <w:sz w:val="20"/>
                <w:szCs w:val="20"/>
                <w:lang w:val="en-US" w:eastAsia="zh-CN"/>
              </w:rPr>
              <w:t>For open loop power control the following</w:t>
            </w:r>
            <w:r>
              <w:rPr>
                <w:rFonts w:ascii="Arial" w:hAnsi="Arial" w:cs="Arial"/>
                <w:bCs/>
                <w:sz w:val="20"/>
                <w:szCs w:val="20"/>
                <w:lang w:val="en-US" w:eastAsia="zh-CN"/>
              </w:rPr>
              <w:t xml:space="preserve"> UL power control parameters can be reused for CB-msg3-EDT</w:t>
            </w:r>
          </w:p>
          <w:p w14:paraId="0468517C">
            <w:pPr>
              <w:pStyle w:val="109"/>
              <w:numPr>
                <w:ilvl w:val="0"/>
                <w:numId w:val="12"/>
              </w:numPr>
              <w:overflowPunct/>
              <w:autoSpaceDE/>
              <w:autoSpaceDN/>
              <w:adjustRightInd/>
              <w:contextualSpacing/>
              <w:textAlignment w:val="auto"/>
              <w:rPr>
                <w:rFonts w:hint="default" w:eastAsia="宋体"/>
                <w:b w:val="0"/>
                <w:bCs/>
                <w:i w:val="0"/>
                <w:iCs w:val="0"/>
                <w:vertAlign w:val="baseline"/>
                <w:lang w:val="en-US" w:eastAsia="zh-CN"/>
              </w:rPr>
            </w:pPr>
            <w:r>
              <w:rPr>
                <w:rFonts w:ascii="Arial" w:hAnsi="Arial" w:cs="Arial"/>
                <w:bCs/>
                <w:sz w:val="20"/>
                <w:szCs w:val="20"/>
                <w:lang w:val="en-US" w:eastAsia="zh-CN"/>
              </w:rPr>
              <w:t>p0-UE-NPUSCH-r16 and alpha-r16 for NB-IoT NTN</w:t>
            </w:r>
            <w:bookmarkEnd w:id="3"/>
          </w:p>
        </w:tc>
      </w:tr>
    </w:tbl>
    <w:p w14:paraId="5BD37F72">
      <w:pPr>
        <w:pStyle w:val="60"/>
        <w:spacing w:after="0"/>
        <w:ind w:left="0" w:firstLine="0"/>
        <w:rPr>
          <w:rFonts w:hint="default" w:eastAsia="宋体"/>
          <w:b w:val="0"/>
          <w:bCs/>
          <w:i w:val="0"/>
          <w:iCs w:val="0"/>
          <w:lang w:val="en-US" w:eastAsia="zh-CN"/>
        </w:rPr>
      </w:pPr>
      <w:bookmarkStart w:id="4" w:name="OLE_LINK2"/>
      <w:r>
        <w:rPr>
          <w:rFonts w:hint="eastAsia" w:eastAsia="宋体"/>
          <w:b w:val="0"/>
          <w:bCs/>
          <w:i w:val="0"/>
          <w:iCs w:val="0"/>
          <w:lang w:val="en-US" w:eastAsia="zh-CN"/>
        </w:rPr>
        <w:t>And in MAC open issue discussion[2], the majority companies agreed no to introduced the power ramping for CB-Msg3-EDT due to there is no R19 time in RAN1 to further evaluate this issue. In order to avoid the impact on RAN1, at this stage, it is more reasonable not to support the power ramping for CB-Msg3-EDT for R19.</w:t>
      </w:r>
    </w:p>
    <w:p w14:paraId="7D6764E0">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4: (MAC-6) Not to pursue power ramping for CB-Msg3-EDT in R19.</w:t>
      </w:r>
    </w:p>
    <w:bookmarkEnd w:id="4"/>
    <w:p w14:paraId="338AEB1F">
      <w:pPr>
        <w:pStyle w:val="3"/>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1"/>
        <w:rPr>
          <w:rFonts w:hint="default" w:eastAsiaTheme="minorEastAsia"/>
          <w:b/>
          <w:bCs/>
          <w:sz w:val="24"/>
          <w:szCs w:val="24"/>
          <w:u w:val="none"/>
          <w:lang w:val="en-US" w:eastAsia="zh-CN"/>
        </w:rPr>
      </w:pPr>
      <w:r>
        <w:rPr>
          <w:rFonts w:hint="eastAsia" w:eastAsiaTheme="minorEastAsia"/>
          <w:b/>
          <w:bCs/>
          <w:sz w:val="24"/>
          <w:szCs w:val="24"/>
          <w:u w:val="none"/>
          <w:lang w:val="en-US" w:eastAsia="zh-CN"/>
        </w:rPr>
        <w:t>(MAC-9): Whether NW/UE processing time is needed when determine the Msg4 monitoring starts.</w:t>
      </w:r>
    </w:p>
    <w:p w14:paraId="0F28A3BD">
      <w:pPr>
        <w:rPr>
          <w:rFonts w:hint="eastAsia" w:eastAsia="宋体"/>
          <w:b w:val="0"/>
          <w:bCs/>
          <w:i w:val="0"/>
          <w:iCs w:val="0"/>
          <w:lang w:val="en-US" w:eastAsia="zh-CN"/>
        </w:rPr>
      </w:pPr>
      <w:r>
        <w:rPr>
          <w:rFonts w:hint="eastAsia" w:eastAsia="宋体"/>
          <w:b w:val="0"/>
          <w:bCs/>
          <w:i w:val="0"/>
          <w:iCs w:val="0"/>
          <w:lang w:val="en-US" w:eastAsia="zh-CN"/>
        </w:rPr>
        <w:t>Most companies support not to introduce the processing time in [2]. However, the CB-Msg EDT procedure is also based on the shared PUSCH resource to perform the transmission, which is similar to the</w:t>
      </w:r>
      <w:r>
        <w:rPr>
          <w:rFonts w:hint="eastAsia" w:eastAsia="宋体"/>
          <w:lang w:val="en-US" w:eastAsia="zh-CN"/>
        </w:rPr>
        <w:t xml:space="preserve"> legacy transmission using PUR, </w:t>
      </w:r>
      <w:r>
        <w:rPr>
          <w:rFonts w:hint="eastAsia" w:eastAsia="宋体"/>
          <w:b w:val="0"/>
          <w:bCs/>
          <w:i w:val="0"/>
          <w:iCs w:val="0"/>
          <w:lang w:val="en-US" w:eastAsia="zh-CN"/>
        </w:rPr>
        <w:t xml:space="preserve">which considers both the processing time and UE-eNB RTT to start or restart </w:t>
      </w:r>
      <w:r>
        <w:rPr>
          <w:i/>
        </w:rPr>
        <w:t>pur-ResponseWindowTimer</w:t>
      </w:r>
      <w:r>
        <w:rPr>
          <w:rFonts w:hint="eastAsia" w:eastAsia="宋体"/>
          <w:i/>
          <w:lang w:val="en-US" w:eastAsia="zh-CN"/>
        </w:rPr>
        <w:t xml:space="preserve"> </w:t>
      </w:r>
      <w:r>
        <w:rPr>
          <w:rFonts w:hint="eastAsia" w:eastAsia="宋体"/>
          <w:b w:val="0"/>
          <w:bCs/>
          <w:i w:val="0"/>
          <w:iCs w:val="0"/>
          <w:lang w:val="en-US" w:eastAsia="zh-CN"/>
        </w:rPr>
        <w:t>in NTN network.</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BE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CAFFC5">
            <w:pPr>
              <w:pStyle w:val="5"/>
              <w:numPr>
                <w:ilvl w:val="1"/>
                <w:numId w:val="0"/>
              </w:numPr>
              <w:ind w:left="142" w:leftChars="0"/>
            </w:pPr>
            <w:bookmarkStart w:id="5" w:name="_Toc52536235"/>
            <w:bookmarkStart w:id="6" w:name="_Toc46500326"/>
            <w:bookmarkStart w:id="7" w:name="_Toc37256387"/>
            <w:bookmarkStart w:id="8" w:name="_Toc37256233"/>
            <w:bookmarkStart w:id="9" w:name="_Toc178249194"/>
            <w:r>
              <w:t>5.4.7.1</w:t>
            </w:r>
            <w:r>
              <w:tab/>
            </w:r>
            <w:r>
              <w:t>Transmission using PUR</w:t>
            </w:r>
            <w:bookmarkEnd w:id="5"/>
            <w:bookmarkEnd w:id="6"/>
            <w:bookmarkEnd w:id="7"/>
            <w:bookmarkEnd w:id="8"/>
            <w:bookmarkEnd w:id="9"/>
          </w:p>
          <w:p w14:paraId="002FD0BA">
            <w:pPr>
              <w:pStyle w:val="60"/>
              <w:ind w:left="0" w:leftChars="0" w:firstLine="0" w:firstLineChars="0"/>
              <w:rPr>
                <w:highlight w:val="cyan"/>
              </w:rPr>
            </w:pPr>
            <w:r>
              <w:rPr>
                <w:rFonts w:hint="eastAsia" w:eastAsia="宋体"/>
                <w:b w:val="0"/>
                <w:bCs/>
                <w:i w:val="0"/>
                <w:iCs w:val="0"/>
                <w:highlight w:val="cyan"/>
                <w:vertAlign w:val="baseline"/>
                <w:lang w:val="en-US" w:eastAsia="zh-CN"/>
              </w:rPr>
              <w:t>&lt;&lt;omitted&gt;&gt;</w:t>
            </w:r>
          </w:p>
          <w:p w14:paraId="53C7F795">
            <w:pPr>
              <w:rPr>
                <w:iCs/>
              </w:rPr>
            </w:pPr>
            <w:r>
              <w:t xml:space="preserve">After transmission using PUR, the MAC entity shall monitor PDCCH identified by PUR-RNTI in the PUR response window using timer </w:t>
            </w:r>
            <w:r>
              <w:rPr>
                <w:i/>
              </w:rPr>
              <w:t>pur-ResponseWindowTimer</w:t>
            </w:r>
            <w:r>
              <w:rPr>
                <w:iCs/>
              </w:rPr>
              <w:t>:</w:t>
            </w:r>
          </w:p>
          <w:p w14:paraId="4DC54328">
            <w:pPr>
              <w:pStyle w:val="60"/>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14:paraId="6C9FF46A">
            <w:pPr>
              <w:pStyle w:val="61"/>
              <w:rPr>
                <w:highlight w:val="none"/>
              </w:rPr>
            </w:pPr>
            <w:r>
              <w:t>-</w:t>
            </w:r>
            <w:r>
              <w:tab/>
            </w:r>
            <w:r>
              <w:t xml:space="preserve">the MAC entity shall </w:t>
            </w:r>
            <w:r>
              <w:rPr>
                <w:color w:val="000000" w:themeColor="text1"/>
                <w:highlight w:val="yellow"/>
                <w14:textFill>
                  <w14:solidFill>
                    <w14:schemeClr w14:val="tx1"/>
                  </w14:solidFill>
                </w14:textFill>
              </w:rPr>
              <w:t xml:space="preserve">start </w:t>
            </w:r>
            <w:r>
              <w:rPr>
                <w:i/>
                <w:color w:val="000000" w:themeColor="text1"/>
                <w:highlight w:val="yellow"/>
                <w14:textFill>
                  <w14:solidFill>
                    <w14:schemeClr w14:val="tx1"/>
                  </w14:solidFill>
                </w14:textFill>
              </w:rPr>
              <w:t>pur-ResponseWindowTimer</w:t>
            </w:r>
            <w:r>
              <w:rPr>
                <w:color w:val="000000" w:themeColor="text1"/>
                <w:highlight w:val="yellow"/>
                <w14:textFill>
                  <w14:solidFill>
                    <w14:schemeClr w14:val="tx1"/>
                  </w14:solidFill>
                </w14:textFill>
              </w:rPr>
              <w:t xml:space="preserve"> at the subframe that contains the end of the corresponding PUSCH transmission plus 4 subframes plus UE-eNB RTT.</w:t>
            </w:r>
          </w:p>
          <w:p w14:paraId="235A3CF0">
            <w:pPr>
              <w:rPr>
                <w:rFonts w:hint="eastAsia" w:eastAsia="宋体"/>
                <w:b w:val="0"/>
                <w:bCs/>
                <w:i w:val="0"/>
                <w:iCs w:val="0"/>
                <w:highlight w:val="cyan"/>
                <w:vertAlign w:val="baseline"/>
                <w:lang w:val="en-US" w:eastAsia="zh-CN"/>
              </w:rPr>
            </w:pPr>
            <w:r>
              <w:rPr>
                <w:rFonts w:hint="eastAsia" w:eastAsia="宋体"/>
                <w:b w:val="0"/>
                <w:bCs/>
                <w:i w:val="0"/>
                <w:iCs w:val="0"/>
                <w:highlight w:val="cyan"/>
                <w:vertAlign w:val="baseline"/>
                <w:lang w:val="en-US" w:eastAsia="zh-CN"/>
              </w:rPr>
              <w:t>&lt;&lt;omitted&gt;&gt;</w:t>
            </w:r>
          </w:p>
          <w:p w14:paraId="32444080">
            <w:r>
              <w:t xml:space="preserve">While </w:t>
            </w:r>
            <w:r>
              <w:rPr>
                <w:i/>
              </w:rPr>
              <w:t xml:space="preserve">pur-ResponseWindowTimer </w:t>
            </w:r>
            <w:r>
              <w:t>is running, the MAC entity shall:</w:t>
            </w:r>
          </w:p>
          <w:p w14:paraId="0FC2283D">
            <w:pPr>
              <w:pStyle w:val="60"/>
            </w:pPr>
            <w:r>
              <w:t>-</w:t>
            </w:r>
            <w:r>
              <w:tab/>
            </w:r>
            <w:r>
              <w:t>if the PDCCH transmission is addressed to the PUR-RNTI and contains an UL grant for a retransmission:</w:t>
            </w:r>
          </w:p>
          <w:p w14:paraId="5DC254EC">
            <w:pPr>
              <w:pStyle w:val="61"/>
              <w:rPr>
                <w:iCs/>
              </w:rPr>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14:paraId="16531767">
            <w:pPr>
              <w:pStyle w:val="62"/>
              <w:rPr>
                <w:highlight w:val="yellow"/>
              </w:rPr>
            </w:pPr>
            <w:r>
              <w:t>-</w:t>
            </w:r>
            <w:r>
              <w:tab/>
            </w:r>
            <w:r>
              <w:rPr>
                <w:highlight w:val="yellow"/>
              </w:rPr>
              <w:t xml:space="preserve">restart </w:t>
            </w:r>
            <w:r>
              <w:rPr>
                <w:i/>
                <w:highlight w:val="yellow"/>
              </w:rPr>
              <w:t>pur-ResponseWindowTimer</w:t>
            </w:r>
            <w:r>
              <w:rPr>
                <w:highlight w:val="yellow"/>
              </w:rPr>
              <w:t xml:space="preserve"> at the last subframe of a PUSCH transmission corresponding to the retransmission indicated by the UL grant plus 4 subframes plus UE-eNB RTT.</w:t>
            </w:r>
          </w:p>
          <w:p w14:paraId="04A3C488">
            <w:pPr>
              <w:rPr>
                <w:rFonts w:hint="default" w:eastAsia="宋体"/>
                <w:b w:val="0"/>
                <w:bCs/>
                <w:i w:val="0"/>
                <w:iCs w:val="0"/>
                <w:highlight w:val="none"/>
                <w:vertAlign w:val="baseline"/>
                <w:lang w:val="en-US" w:eastAsia="zh-CN"/>
              </w:rPr>
            </w:pPr>
            <w:r>
              <w:rPr>
                <w:rFonts w:hint="eastAsia" w:eastAsia="宋体"/>
                <w:b w:val="0"/>
                <w:bCs/>
                <w:i w:val="0"/>
                <w:iCs w:val="0"/>
                <w:highlight w:val="cyan"/>
                <w:vertAlign w:val="baseline"/>
                <w:lang w:val="en-US" w:eastAsia="zh-CN"/>
              </w:rPr>
              <w:t>&lt;&lt;omitted&gt;&gt;</w:t>
            </w:r>
          </w:p>
        </w:tc>
      </w:tr>
    </w:tbl>
    <w:p w14:paraId="75D0104D">
      <w:pPr>
        <w:rPr>
          <w:rFonts w:hint="default" w:eastAsia="宋体"/>
          <w:b w:val="0"/>
          <w:bCs/>
          <w:i w:val="0"/>
          <w:iCs w:val="0"/>
          <w:lang w:val="en-US" w:eastAsia="zh-CN"/>
        </w:rPr>
      </w:pPr>
      <w:r>
        <w:rPr>
          <w:rFonts w:hint="eastAsia" w:eastAsia="宋体"/>
          <w:b w:val="0"/>
          <w:bCs/>
          <w:i w:val="0"/>
          <w:iCs w:val="0"/>
          <w:lang w:val="en-US" w:eastAsia="zh-CN"/>
        </w:rPr>
        <w:t xml:space="preserve">Therefore for CB-Msg4 monitoring, we also need to consider the NW/UE processing time as legacy PDDCH monitoring for transmission using PUR. </w:t>
      </w:r>
    </w:p>
    <w:p w14:paraId="0993E795">
      <w:pPr>
        <w:rPr>
          <w:rFonts w:hint="eastAsia" w:eastAsia="宋体"/>
          <w:b/>
          <w:bCs w:val="0"/>
          <w:i w:val="0"/>
          <w:iCs w:val="0"/>
          <w:lang w:val="en-US" w:eastAsia="zh-CN"/>
        </w:rPr>
      </w:pPr>
      <w:r>
        <w:rPr>
          <w:rFonts w:hint="eastAsia" w:eastAsia="宋体"/>
          <w:b/>
          <w:bCs w:val="0"/>
          <w:i w:val="0"/>
          <w:iCs w:val="0"/>
          <w:lang w:val="en-US" w:eastAsia="zh-CN"/>
        </w:rPr>
        <w:t>Proposal 5: (MAC-9) NW/UE processing time (e.g. 4 subframes) is needed to be considered for CB-Msg4 monitoring.</w:t>
      </w:r>
    </w:p>
    <w:p w14:paraId="10808056">
      <w:pPr>
        <w:keepNext w:val="0"/>
        <w:keepLines w:val="0"/>
        <w:pageBreakBefore w:val="0"/>
        <w:widowControl/>
        <w:kinsoku/>
        <w:wordWrap/>
        <w:overflowPunct w:val="0"/>
        <w:topLinePunct w:val="0"/>
        <w:autoSpaceDE w:val="0"/>
        <w:autoSpaceDN w:val="0"/>
        <w:bidi w:val="0"/>
        <w:adjustRightInd w:val="0"/>
        <w:snapToGrid/>
        <w:spacing w:before="180" w:after="180"/>
        <w:textAlignment w:val="baseline"/>
        <w:outlineLvl w:val="1"/>
        <w:rPr>
          <w:rFonts w:hint="default" w:eastAsia="宋体"/>
          <w:b/>
          <w:bCs w:val="0"/>
          <w:i w:val="0"/>
          <w:iCs w:val="0"/>
          <w:sz w:val="24"/>
          <w:szCs w:val="24"/>
          <w:lang w:val="en-US" w:eastAsia="zh-CN"/>
        </w:rPr>
      </w:pPr>
      <w:r>
        <w:rPr>
          <w:rFonts w:hint="eastAsia" w:eastAsia="宋体" w:cs="Arial"/>
          <w:b/>
          <w:bCs/>
          <w:sz w:val="24"/>
          <w:szCs w:val="24"/>
          <w:lang w:val="en-US" w:eastAsia="zh-CN"/>
        </w:rPr>
        <w:t>(MAC-15): FFS on the details of the failure behaviour</w:t>
      </w:r>
    </w:p>
    <w:p w14:paraId="773C957E">
      <w:pPr>
        <w:pStyle w:val="60"/>
        <w:spacing w:after="0"/>
        <w:ind w:left="0" w:firstLine="0"/>
        <w:rPr>
          <w:rFonts w:hint="default" w:eastAsia="宋体"/>
          <w:lang w:val="en-US" w:eastAsia="zh-CN"/>
        </w:rPr>
      </w:pPr>
      <w:r>
        <w:rPr>
          <w:rFonts w:hint="eastAsia" w:eastAsia="宋体"/>
          <w:lang w:val="en-US" w:eastAsia="zh-CN"/>
        </w:rPr>
        <w:t>Regarding the fallback mechanism, the following agreement is achieved:</w:t>
      </w:r>
    </w:p>
    <w:p w14:paraId="3E66E7F0">
      <w:pPr>
        <w:pStyle w:val="54"/>
        <w:pBdr>
          <w:top w:val="single" w:color="auto" w:sz="4" w:space="1"/>
          <w:left w:val="single" w:color="auto" w:sz="4" w:space="4"/>
          <w:bottom w:val="single" w:color="auto" w:sz="4" w:space="1"/>
          <w:right w:val="single" w:color="auto" w:sz="4" w:space="4"/>
        </w:pBdr>
      </w:pPr>
      <w:r>
        <w:t>4.</w:t>
      </w:r>
      <w:r>
        <w:tab/>
      </w:r>
      <w:r>
        <w:t xml:space="preserve">When max </w:t>
      </w:r>
      <w:bookmarkStart w:id="10" w:name="OLE_LINK4"/>
      <w:r>
        <w:t>re-attempt</w:t>
      </w:r>
      <w:bookmarkEnd w:id="10"/>
      <w:r>
        <w:t xml:space="preserve"> number for current CE level has been reached, the UE does not move to the next CE level (FFS on the details of the failure behaviour)</w:t>
      </w:r>
    </w:p>
    <w:p w14:paraId="549673AD">
      <w:pPr>
        <w:pStyle w:val="60"/>
        <w:spacing w:after="0"/>
        <w:ind w:left="0" w:firstLine="0"/>
        <w:rPr>
          <w:rFonts w:hint="eastAsia" w:eastAsia="宋体"/>
          <w:lang w:val="en-US" w:eastAsia="zh-CN"/>
        </w:rPr>
      </w:pPr>
      <w:r>
        <w:rPr>
          <w:rFonts w:hint="eastAsia" w:eastAsia="宋体"/>
          <w:lang w:val="en-US" w:eastAsia="zh-CN"/>
        </w:rPr>
        <w:t xml:space="preserve">Then in [2], all the companies support MAC notifying the RRC layer about the CB-Msg3-EDT failure. However, there is no clear consensus on what RRC should do for this failure. Considering that if the CB-Msg3-EDT is still failure when max re-attempt number for current CE level has been reached, then performing legacy EDT procedure may be also failure. And too many re-attempt would </w:t>
      </w:r>
      <w:r>
        <w:rPr>
          <w:rFonts w:hint="eastAsia"/>
        </w:rPr>
        <w:t>lead to an increase in transmission delay</w:t>
      </w:r>
      <w:r>
        <w:rPr>
          <w:rFonts w:hint="eastAsia" w:eastAsia="宋体"/>
          <w:lang w:val="en-US" w:eastAsia="zh-CN"/>
        </w:rPr>
        <w:t>. At this moment, it is better for UE to directly initiate the legacy 4-step RA procedure based on network configuration.</w:t>
      </w:r>
    </w:p>
    <w:p w14:paraId="4762737F">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6: (MAC-15) It is proposed that when the </w:t>
      </w:r>
      <w:r>
        <w:rPr>
          <w:rFonts w:hint="eastAsia" w:eastAsia="宋体"/>
          <w:b/>
          <w:bCs w:val="0"/>
          <w:i/>
          <w:iCs/>
          <w:lang w:val="en-US" w:eastAsia="zh-CN"/>
        </w:rPr>
        <w:t>CB-Msg3ResponseTimer</w:t>
      </w:r>
      <w:r>
        <w:rPr>
          <w:rFonts w:hint="eastAsia" w:eastAsia="宋体"/>
          <w:b/>
          <w:bCs w:val="0"/>
          <w:i w:val="0"/>
          <w:iCs w:val="0"/>
          <w:lang w:val="en-US" w:eastAsia="zh-CN"/>
        </w:rPr>
        <w:t xml:space="preserve"> expires and the maximum number of re-attempts has been reached, MAC notifies the RRC layer.</w:t>
      </w:r>
    </w:p>
    <w:p w14:paraId="7A0B6A37">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(MAC-15) UE initiate the legacy 4-step RA procedure based on network configuration.</w:t>
      </w:r>
    </w:p>
    <w:p w14:paraId="488F37F3">
      <w:pPr>
        <w:keepNext w:val="0"/>
        <w:keepLines w:val="0"/>
        <w:pageBreakBefore w:val="0"/>
        <w:widowControl/>
        <w:kinsoku/>
        <w:wordWrap/>
        <w:overflowPunct w:val="0"/>
        <w:topLinePunct w:val="0"/>
        <w:autoSpaceDE w:val="0"/>
        <w:autoSpaceDN w:val="0"/>
        <w:bidi w:val="0"/>
        <w:adjustRightInd w:val="0"/>
        <w:snapToGrid/>
        <w:spacing w:before="180" w:after="180"/>
        <w:textAlignment w:val="baseline"/>
        <w:outlineLvl w:val="1"/>
        <w:rPr>
          <w:rFonts w:hint="default" w:eastAsia="宋体"/>
          <w:b/>
          <w:bCs w:val="0"/>
          <w:i w:val="0"/>
          <w:iCs w:val="0"/>
          <w:sz w:val="24"/>
          <w:szCs w:val="24"/>
          <w:lang w:val="en-US" w:eastAsia="zh-CN"/>
        </w:rPr>
      </w:pPr>
      <w:r>
        <w:rPr>
          <w:rFonts w:hint="eastAsia" w:eastAsia="宋体" w:cs="Arial"/>
          <w:b/>
          <w:bCs/>
          <w:sz w:val="24"/>
          <w:szCs w:val="24"/>
          <w:lang w:val="en-US" w:eastAsia="zh-CN"/>
        </w:rPr>
        <w:t>(MAC-20): Should the CQI report in Msg3 in NB-IoT be supported in CB-Msg3-EDT</w:t>
      </w:r>
    </w:p>
    <w:p w14:paraId="5F7DAE94">
      <w:pPr>
        <w:pStyle w:val="60"/>
        <w:spacing w:after="0"/>
        <w:ind w:left="0" w:firstLine="0"/>
        <w:rPr>
          <w:rFonts w:hint="eastAsia" w:eastAsia="宋体"/>
          <w:lang w:val="en-US" w:eastAsia="zh-CN"/>
        </w:rPr>
      </w:pPr>
      <w:r>
        <w:rPr>
          <w:rFonts w:hint="eastAsia" w:eastAsia="宋体"/>
          <w:lang w:val="en-US" w:eastAsia="zh-CN"/>
        </w:rPr>
        <w:t>During the MAC open issue discussion , the CQI report issue is raised firstly and needs further discuss. From our perspective, CQI report is unnecessary and seems no significant gain for CB-Msg3 EDT procedure. Further, RAN4 check is needed, which may have no sufficient time to evaluate this. Therefore, suggest RAN2 not to consider the CQI report in R19.</w:t>
      </w:r>
    </w:p>
    <w:p w14:paraId="7AA3EBBD">
      <w:pPr>
        <w:pStyle w:val="60"/>
        <w:spacing w:after="0"/>
        <w:ind w:left="0" w:firstLine="0"/>
        <w:rPr>
          <w:rFonts w:hint="default" w:eastAsia="宋体"/>
          <w:b/>
          <w:bCs w:val="0"/>
          <w:i w:val="0"/>
          <w:iCs w:val="0"/>
          <w:lang w:val="en-US" w:eastAsia="zh-CN"/>
        </w:rPr>
      </w:pPr>
      <w:r>
        <w:rPr>
          <w:rFonts w:hint="eastAsia" w:eastAsia="宋体"/>
          <w:b/>
          <w:bCs/>
          <w:lang w:val="en-US" w:eastAsia="zh-CN"/>
        </w:rPr>
        <w:t>Proposal 8: (MAC-20) suggest RAN2 not to consider the CQI report in R19.</w:t>
      </w:r>
    </w:p>
    <w:p w14:paraId="25DC746E">
      <w:pPr>
        <w:pStyle w:val="60"/>
        <w:keepNext w:val="0"/>
        <w:keepLines w:val="0"/>
        <w:pageBreakBefore w:val="0"/>
        <w:widowControl/>
        <w:kinsoku/>
        <w:wordWrap/>
        <w:overflowPunct w:val="0"/>
        <w:topLinePunct w:val="0"/>
        <w:autoSpaceDE w:val="0"/>
        <w:autoSpaceDN w:val="0"/>
        <w:bidi w:val="0"/>
        <w:adjustRightInd w:val="0"/>
        <w:snapToGrid/>
        <w:spacing w:before="180" w:after="180"/>
        <w:ind w:left="0" w:firstLine="0"/>
        <w:textAlignment w:val="baseline"/>
        <w:outlineLvl w:val="1"/>
        <w:rPr>
          <w:rFonts w:hint="default" w:eastAsiaTheme="minorEastAsia"/>
          <w:b/>
          <w:bCs/>
          <w:sz w:val="24"/>
          <w:szCs w:val="24"/>
          <w:u w:val="none"/>
          <w:lang w:val="en-US" w:eastAsia="zh-CN"/>
        </w:rPr>
      </w:pPr>
      <w:r>
        <w:rPr>
          <w:rFonts w:hint="eastAsia" w:eastAsiaTheme="minorEastAsia"/>
          <w:b/>
          <w:bCs/>
          <w:sz w:val="24"/>
          <w:szCs w:val="24"/>
          <w:u w:val="none"/>
          <w:lang w:val="en-US" w:eastAsia="zh-CN"/>
        </w:rPr>
        <w:t>Other issue 1: DSA transmission window configuration</w:t>
      </w:r>
    </w:p>
    <w:p w14:paraId="2E085A0C">
      <w:pPr>
        <w:pStyle w:val="60"/>
        <w:spacing w:after="0"/>
        <w:ind w:left="0" w:firstLine="0"/>
        <w:rPr>
          <w:rFonts w:hint="eastAsia" w:eastAsiaTheme="minorEastAsia"/>
          <w:b/>
          <w:bCs/>
          <w:sz w:val="20"/>
          <w:szCs w:val="20"/>
          <w:lang w:val="en-US" w:eastAsia="zh-CN"/>
        </w:rPr>
      </w:pPr>
      <w:r>
        <w:rPr>
          <w:rFonts w:hint="eastAsia" w:eastAsiaTheme="minorEastAsia"/>
          <w:b w:val="0"/>
          <w:bCs w:val="0"/>
          <w:sz w:val="20"/>
          <w:szCs w:val="20"/>
          <w:lang w:val="en-US" w:eastAsia="zh-CN"/>
        </w:rPr>
        <w:t xml:space="preserve">In RAN2 #129bis meeting, we agreed that the CB-msg3 EDT transmission window length and periodicity may be different and also could be the same. Then in case the length and periodicity are the same, some solutions could be discussed for signaling overhead reduction. As mentioned in the discussion, only one of the window length and </w:t>
      </w:r>
      <w:bookmarkStart w:id="11" w:name="OLE_LINK1"/>
      <w:r>
        <w:rPr>
          <w:rFonts w:hint="eastAsia" w:eastAsiaTheme="minorEastAsia"/>
          <w:b w:val="0"/>
          <w:bCs w:val="0"/>
          <w:sz w:val="20"/>
          <w:szCs w:val="20"/>
          <w:lang w:val="en-US" w:eastAsia="zh-CN"/>
        </w:rPr>
        <w:t>window periodicity</w:t>
      </w:r>
      <w:bookmarkEnd w:id="11"/>
      <w:r>
        <w:rPr>
          <w:rFonts w:hint="eastAsia" w:eastAsiaTheme="minorEastAsia"/>
          <w:b w:val="0"/>
          <w:bCs w:val="0"/>
          <w:sz w:val="20"/>
          <w:szCs w:val="20"/>
          <w:lang w:val="en-US" w:eastAsia="zh-CN"/>
        </w:rPr>
        <w:t xml:space="preserve"> is needed at this moment. From our perspective, the DSA transmission window related configuration could be provided in specification optionally, and if window length or window periodicity is absent, it could implicitly indicated the two parameters are the same value, we could just provide some description in the field, further enhancement is not needed.</w:t>
      </w:r>
    </w:p>
    <w:p w14:paraId="6D7048C5">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9: If window length or window periodicity is absent, it could implicitly indicated the two parameters are the same value, we could just provide some description in the field, further enhancement is not needed.</w:t>
      </w:r>
    </w:p>
    <w:p w14:paraId="137D4DCB">
      <w:pPr>
        <w:pStyle w:val="60"/>
        <w:keepNext w:val="0"/>
        <w:keepLines w:val="0"/>
        <w:pageBreakBefore w:val="0"/>
        <w:widowControl/>
        <w:kinsoku/>
        <w:wordWrap/>
        <w:overflowPunct w:val="0"/>
        <w:topLinePunct w:val="0"/>
        <w:autoSpaceDE w:val="0"/>
        <w:autoSpaceDN w:val="0"/>
        <w:bidi w:val="0"/>
        <w:adjustRightInd w:val="0"/>
        <w:snapToGrid/>
        <w:spacing w:before="180" w:after="180"/>
        <w:ind w:left="0" w:firstLine="0"/>
        <w:textAlignment w:val="baseline"/>
        <w:outlineLvl w:val="1"/>
        <w:rPr>
          <w:rFonts w:hint="default" w:eastAsiaTheme="minorEastAsia"/>
          <w:b/>
          <w:bCs/>
          <w:sz w:val="20"/>
          <w:szCs w:val="20"/>
          <w:lang w:val="en-US" w:eastAsia="zh-CN"/>
        </w:rPr>
      </w:pPr>
      <w:r>
        <w:rPr>
          <w:rFonts w:hint="eastAsia" w:eastAsiaTheme="minorEastAsia"/>
          <w:b/>
          <w:bCs/>
          <w:sz w:val="24"/>
          <w:szCs w:val="24"/>
          <w:u w:val="none"/>
          <w:lang w:val="en-US" w:eastAsia="zh-CN"/>
        </w:rPr>
        <w:t>Other issue 2: OCC for CB-Msg3-EDT</w:t>
      </w:r>
    </w:p>
    <w:p w14:paraId="024B58AA">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In last meeting, we discuss OCC for CB-Msg3-EDT without convergence and postpone to this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A8E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BAB320">
            <w:pPr>
              <w:pStyle w:val="111"/>
              <w:rPr>
                <w:lang w:val="en-US" w:eastAsia="ko-KR"/>
              </w:rPr>
            </w:pPr>
            <w:r>
              <w:rPr>
                <w:lang w:val="en-US" w:eastAsia="ko-KR"/>
              </w:rPr>
              <w:t>Proposal 7</w:t>
            </w:r>
            <w:r>
              <w:rPr>
                <w:lang w:val="en-US" w:eastAsia="ko-KR"/>
              </w:rPr>
              <w:tab/>
            </w:r>
            <w:r>
              <w:rPr>
                <w:lang w:val="en-US" w:eastAsia="ko-KR"/>
              </w:rPr>
              <w:t>RAN2 do not work on OCC for CB-Msg3-EDT in release 19.</w:t>
            </w:r>
          </w:p>
          <w:p w14:paraId="46520451">
            <w:pPr>
              <w:pStyle w:val="54"/>
              <w:rPr>
                <w:lang w:val="en-US" w:eastAsia="ko-KR"/>
              </w:rPr>
            </w:pPr>
            <w:r>
              <w:rPr>
                <w:lang w:val="en-US" w:eastAsia="ko-KR"/>
              </w:rPr>
              <w:t>-</w:t>
            </w:r>
            <w:r>
              <w:rPr>
                <w:lang w:val="en-US" w:eastAsia="ko-KR"/>
              </w:rPr>
              <w:tab/>
            </w:r>
            <w:r>
              <w:rPr>
                <w:lang w:val="en-US" w:eastAsia="ko-KR"/>
              </w:rPr>
              <w:t>QC does not support the proposal and thinks that OCC could be supported without additional work for RAN2 (procedure wise, only the corresponding configuration is needed)</w:t>
            </w:r>
          </w:p>
          <w:p w14:paraId="069C47B4">
            <w:pPr>
              <w:pStyle w:val="54"/>
              <w:rPr>
                <w:lang w:val="en-US" w:eastAsia="ko-KR"/>
              </w:rPr>
            </w:pPr>
            <w:r>
              <w:rPr>
                <w:lang w:val="en-US" w:eastAsia="ko-KR"/>
              </w:rPr>
              <w:t>-</w:t>
            </w:r>
            <w:r>
              <w:rPr>
                <w:lang w:val="en-US" w:eastAsia="ko-KR"/>
              </w:rPr>
              <w:tab/>
            </w:r>
            <w:r>
              <w:rPr>
                <w:lang w:val="en-US" w:eastAsia="ko-KR"/>
              </w:rPr>
              <w:t>Ericsson doubts that OCC would work in this case. Nokia agrees</w:t>
            </w:r>
          </w:p>
          <w:p w14:paraId="7CD3BE87">
            <w:pPr>
              <w:pStyle w:val="54"/>
              <w:rPr>
                <w:lang w:val="en-US" w:eastAsia="ko-KR"/>
              </w:rPr>
            </w:pPr>
            <w:r>
              <w:rPr>
                <w:lang w:val="en-US" w:eastAsia="ko-KR"/>
              </w:rPr>
              <w:t>-</w:t>
            </w:r>
            <w:r>
              <w:rPr>
                <w:lang w:val="en-US" w:eastAsia="ko-KR"/>
              </w:rPr>
              <w:tab/>
            </w:r>
            <w:r>
              <w:rPr>
                <w:lang w:val="en-US" w:eastAsia="ko-KR"/>
              </w:rPr>
              <w:t>Toyota thinks that from RAN2 perspective there is no problem to support OCC</w:t>
            </w:r>
          </w:p>
          <w:p w14:paraId="20D63420">
            <w:pPr>
              <w:pStyle w:val="107"/>
              <w:rPr>
                <w:rFonts w:hint="eastAsia" w:eastAsiaTheme="minorEastAsia"/>
                <w:b/>
                <w:bCs/>
                <w:sz w:val="20"/>
                <w:szCs w:val="20"/>
                <w:vertAlign w:val="baseline"/>
                <w:lang w:val="en-US" w:eastAsia="zh-CN"/>
              </w:rPr>
            </w:pPr>
            <w:r>
              <w:rPr>
                <w:lang w:val="en-US" w:eastAsia="ko-KR"/>
              </w:rPr>
              <w:t>We continue the discussion on OCC for CB-msg3-EDT in the next meeting.</w:t>
            </w:r>
          </w:p>
        </w:tc>
      </w:tr>
    </w:tbl>
    <w:p w14:paraId="112BF4A9">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Per the previous RAN1 reply LS [5], the feedback for OCC for CB-Msg3-EDT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21B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296BA46">
            <w:pPr>
              <w:autoSpaceDE/>
              <w:autoSpaceDN/>
              <w:snapToGrid w:val="0"/>
              <w:spacing w:after="0"/>
              <w:rPr>
                <w:b/>
                <w:bCs/>
              </w:rPr>
            </w:pPr>
            <w:r>
              <w:rPr>
                <w:b/>
                <w:bCs/>
              </w:rPr>
              <w:t>Response</w:t>
            </w:r>
            <w:r>
              <w:rPr>
                <w:rFonts w:hint="eastAsia"/>
                <w:b/>
                <w:bCs/>
              </w:rPr>
              <w:t>:</w:t>
            </w:r>
          </w:p>
          <w:p w14:paraId="77C51B4D">
            <w:pPr>
              <w:autoSpaceDE/>
              <w:autoSpaceDN/>
              <w:snapToGrid w:val="0"/>
              <w:spacing w:after="0"/>
              <w:rPr>
                <w:rFonts w:eastAsiaTheme="minorEastAsia"/>
                <w:lang w:eastAsia="zh-CN"/>
              </w:rPr>
            </w:pPr>
            <w:r>
              <w:rPr>
                <w:rFonts w:eastAsia="等线"/>
                <w:lang w:eastAsia="zh-C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Pr>
                <w:rFonts w:hint="eastAsia"/>
              </w:rPr>
              <w:t>.</w:t>
            </w:r>
          </w:p>
          <w:p w14:paraId="69D234F8">
            <w:pPr>
              <w:pStyle w:val="60"/>
              <w:spacing w:after="0"/>
              <w:rPr>
                <w:rFonts w:hint="default" w:eastAsiaTheme="minorEastAsia"/>
                <w:b w:val="0"/>
                <w:bCs w:val="0"/>
                <w:sz w:val="20"/>
                <w:szCs w:val="20"/>
                <w:vertAlign w:val="baseline"/>
                <w:lang w:val="en-US" w:eastAsia="zh-CN"/>
              </w:rPr>
            </w:pPr>
          </w:p>
        </w:tc>
      </w:tr>
    </w:tbl>
    <w:p w14:paraId="3D0B68A4">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Then in RAN2 #129 meeting, we reached related agreements:</w:t>
      </w:r>
    </w:p>
    <w:p w14:paraId="26E70614">
      <w:pPr>
        <w:pStyle w:val="54"/>
        <w:pBdr>
          <w:top w:val="single" w:color="auto" w:sz="4" w:space="1"/>
          <w:left w:val="single" w:color="auto" w:sz="4" w:space="4"/>
          <w:bottom w:val="single" w:color="auto" w:sz="4" w:space="1"/>
          <w:right w:val="single" w:color="auto" w:sz="4" w:space="4"/>
        </w:pBdr>
      </w:pPr>
      <w:r>
        <w:t>1.</w:t>
      </w:r>
      <w:r>
        <w:tab/>
      </w:r>
      <w:r>
        <w:t xml:space="preserve">It is FFS if separate CB-msg3 resources would be needed for CB-msg-3 using OCC or if the same CB-msg3 resources could be used </w:t>
      </w:r>
    </w:p>
    <w:p w14:paraId="141808B8">
      <w:pPr>
        <w:pStyle w:val="54"/>
        <w:pBdr>
          <w:top w:val="single" w:color="auto" w:sz="4" w:space="1"/>
          <w:left w:val="single" w:color="auto" w:sz="4" w:space="4"/>
          <w:bottom w:val="single" w:color="auto" w:sz="4" w:space="1"/>
          <w:right w:val="single" w:color="auto" w:sz="4" w:space="4"/>
        </w:pBdr>
      </w:pPr>
      <w:r>
        <w:t>2.</w:t>
      </w:r>
      <w:r>
        <w:tab/>
      </w:r>
      <w:r>
        <w:t>RAN2 assumes that one possibility to take power imbalance under control is to define RSRP ranges that need to be respected to transmit CB-msg3 using OCC</w:t>
      </w:r>
    </w:p>
    <w:p w14:paraId="0C797FD5">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Considering that whether support OCC for CB-Msg3-EDT may need RAN1 further evaluation, while at this stage, there is no more time for RAN1 R19. Therefore, it is proposed not to support OCC for CB-Msg3-EDT in R19.</w:t>
      </w:r>
    </w:p>
    <w:p w14:paraId="54CD3FA7">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10: It is proposed not to support OCC for CB-Msg3-EDT in R19.</w:t>
      </w:r>
    </w:p>
    <w:p w14:paraId="26B37D5E">
      <w:pPr>
        <w:pStyle w:val="60"/>
        <w:keepNext w:val="0"/>
        <w:keepLines w:val="0"/>
        <w:pageBreakBefore w:val="0"/>
        <w:widowControl/>
        <w:kinsoku/>
        <w:wordWrap/>
        <w:overflowPunct w:val="0"/>
        <w:topLinePunct w:val="0"/>
        <w:autoSpaceDE w:val="0"/>
        <w:autoSpaceDN w:val="0"/>
        <w:bidi w:val="0"/>
        <w:adjustRightInd w:val="0"/>
        <w:snapToGrid/>
        <w:spacing w:before="180" w:after="180"/>
        <w:ind w:left="0" w:firstLine="0"/>
        <w:textAlignment w:val="baseline"/>
        <w:outlineLvl w:val="1"/>
        <w:rPr>
          <w:rFonts w:hint="default" w:eastAsia="宋体"/>
          <w:b w:val="0"/>
          <w:bCs/>
          <w:i w:val="0"/>
          <w:iCs w:val="0"/>
          <w:lang w:val="en-US" w:eastAsia="zh-CN"/>
        </w:rPr>
      </w:pPr>
      <w:r>
        <w:rPr>
          <w:rFonts w:hint="eastAsia" w:eastAsiaTheme="minorEastAsia"/>
          <w:b/>
          <w:bCs/>
          <w:sz w:val="24"/>
          <w:szCs w:val="24"/>
          <w:u w:val="none"/>
          <w:lang w:val="en-US" w:eastAsia="zh-CN"/>
        </w:rPr>
        <w:t>Other issue 3: issues in RAN1 reply LS</w:t>
      </w:r>
    </w:p>
    <w:p w14:paraId="111F0612">
      <w:pPr>
        <w:pStyle w:val="60"/>
        <w:spacing w:after="0"/>
        <w:ind w:left="0" w:firstLine="0"/>
        <w:rPr>
          <w:rFonts w:hint="eastAsia" w:eastAsia="宋体"/>
          <w:b w:val="0"/>
          <w:bCs/>
          <w:i w:val="0"/>
          <w:iCs w:val="0"/>
          <w:lang w:val="en-US" w:eastAsia="zh-CN"/>
        </w:rPr>
      </w:pPr>
      <w:r>
        <w:rPr>
          <w:rFonts w:hint="eastAsia" w:eastAsia="宋体"/>
          <w:b w:val="0"/>
          <w:bCs/>
          <w:i w:val="0"/>
          <w:iCs w:val="0"/>
          <w:lang w:val="en-US" w:eastAsia="zh-CN"/>
        </w:rPr>
        <w:t>In RAN1 reply LS [4], the following issues are still need RAN2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6D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84A86D7">
            <w:pPr>
              <w:pStyle w:val="109"/>
              <w:numPr>
                <w:ilvl w:val="0"/>
                <w:numId w:val="13"/>
              </w:numPr>
              <w:overflowPunct/>
              <w:autoSpaceDE/>
              <w:autoSpaceDN/>
              <w:adjustRightInd/>
              <w:contextualSpacing/>
              <w:textAlignment w:val="auto"/>
              <w:rPr>
                <w:rFonts w:ascii="Arial" w:hAnsi="Arial" w:cs="Arial"/>
                <w:sz w:val="20"/>
                <w:szCs w:val="20"/>
                <w:lang w:val="en-US" w:eastAsia="zh-CN"/>
              </w:rPr>
            </w:pPr>
            <w:r>
              <w:rPr>
                <w:rFonts w:ascii="Arial" w:hAnsi="Arial" w:eastAsia="等线" w:cs="Arial"/>
                <w:sz w:val="20"/>
                <w:szCs w:val="20"/>
                <w:lang w:val="en-US" w:eastAsia="zh-CN"/>
              </w:rPr>
              <w:t>RAN1 wonders whether RAN2 intends to support multi-PRB allocation or sub-PRB allocation or both</w:t>
            </w:r>
          </w:p>
          <w:p w14:paraId="139F7A8E">
            <w:pPr>
              <w:pStyle w:val="109"/>
              <w:numPr>
                <w:ilvl w:val="0"/>
                <w:numId w:val="0"/>
              </w:numPr>
              <w:overflowPunct/>
              <w:autoSpaceDE/>
              <w:autoSpaceDN/>
              <w:adjustRightInd/>
              <w:ind w:leftChars="200"/>
              <w:contextualSpacing/>
              <w:textAlignment w:val="auto"/>
              <w:rPr>
                <w:rFonts w:ascii="Arial" w:hAnsi="Arial" w:cs="Arial"/>
                <w:sz w:val="20"/>
                <w:szCs w:val="20"/>
                <w:lang w:val="en-US" w:eastAsia="zh-CN"/>
              </w:rPr>
            </w:pPr>
          </w:p>
          <w:p w14:paraId="2305F554">
            <w:pPr>
              <w:rPr>
                <w:rFonts w:hint="default" w:eastAsia="宋体"/>
                <w:b w:val="0"/>
                <w:bCs/>
                <w:i w:val="0"/>
                <w:iCs w:val="0"/>
                <w:vertAlign w:val="baseline"/>
                <w:lang w:val="en-US" w:eastAsia="zh-CN"/>
              </w:rPr>
            </w:pPr>
            <w:r>
              <w:rPr>
                <w:rFonts w:ascii="Arial" w:hAnsi="Arial" w:cs="Arial"/>
                <w:bCs/>
                <w:iCs/>
                <w:sz w:val="20"/>
                <w:szCs w:val="20"/>
                <w:lang w:val="en-US" w:eastAsia="zh-CN"/>
              </w:rPr>
              <w:t>Note: To be confirmed by RAN2 whether to support both singleTone and multitone, or singleTone only for HL parameter npusch-MCS-r16.</w:t>
            </w:r>
          </w:p>
        </w:tc>
      </w:tr>
    </w:tbl>
    <w:p w14:paraId="36349C5B">
      <w:pPr>
        <w:pStyle w:val="60"/>
        <w:spacing w:after="0"/>
        <w:ind w:left="0" w:firstLine="0"/>
        <w:rPr>
          <w:rFonts w:hint="eastAsia" w:eastAsia="宋体"/>
          <w:b w:val="0"/>
          <w:bCs/>
          <w:i w:val="0"/>
          <w:iCs w:val="0"/>
          <w:lang w:val="en-US" w:eastAsia="zh-CN"/>
        </w:rPr>
      </w:pPr>
      <w:r>
        <w:rPr>
          <w:rFonts w:hint="eastAsia" w:eastAsia="宋体"/>
          <w:b w:val="0"/>
          <w:bCs/>
          <w:i w:val="0"/>
          <w:iCs w:val="0"/>
          <w:lang w:val="en-US" w:eastAsia="zh-CN"/>
        </w:rPr>
        <w:t>For whether support multi-PRB allocation and/or sub-PRB allocation, from our perspective, sub-PRB is beneficial for flexible resource allocation, especially when the data volume is small, the spectrum resources can be utilized more efficiently. And multi-PRB is more suitable for high data rate scenarios. Therefore, both multi-PRB allocation or sub-PRB allocation could be supported.</w:t>
      </w:r>
    </w:p>
    <w:p w14:paraId="2407D06D">
      <w:pPr>
        <w:pStyle w:val="60"/>
        <w:spacing w:after="0"/>
        <w:ind w:left="0" w:firstLine="0"/>
        <w:rPr>
          <w:rFonts w:hint="default" w:eastAsia="宋体"/>
          <w:b w:val="0"/>
          <w:bCs/>
          <w:i w:val="0"/>
          <w:iCs w:val="0"/>
          <w:lang w:val="en-US" w:eastAsia="zh-CN"/>
        </w:rPr>
      </w:pPr>
      <w:r>
        <w:rPr>
          <w:rFonts w:hint="eastAsia" w:eastAsia="宋体"/>
          <w:b w:val="0"/>
          <w:bCs/>
          <w:i w:val="0"/>
          <w:iCs w:val="0"/>
          <w:lang w:val="en-US" w:eastAsia="zh-CN"/>
        </w:rPr>
        <w:t xml:space="preserve">Then for whether to support both singleTone and multiTone, or singleTone only for HL parameter npusch-MCS-r16, based on the previous RAN1/4 reply LS [6][7], it is mentioned that the </w:t>
      </w:r>
      <w:r>
        <w:rPr>
          <w:sz w:val="20"/>
          <w:szCs w:val="20"/>
          <w:lang w:val="en-US"/>
        </w:rPr>
        <w:t>NB-IoT with 15kHz SCS</w:t>
      </w:r>
      <w:r>
        <w:rPr>
          <w:rFonts w:hint="eastAsia" w:eastAsia="宋体"/>
          <w:sz w:val="20"/>
          <w:szCs w:val="20"/>
          <w:lang w:val="en-US" w:eastAsia="zh-CN"/>
        </w:rPr>
        <w:t xml:space="preserve"> </w:t>
      </w:r>
      <w:r>
        <w:rPr>
          <w:sz w:val="20"/>
          <w:szCs w:val="20"/>
          <w:lang w:val="en-US"/>
        </w:rPr>
        <w:t xml:space="preserve">may not satisfy the </w:t>
      </w:r>
      <w:r>
        <w:rPr>
          <w:rFonts w:ascii="Arial" w:hAnsi="Arial" w:cs="Arial"/>
          <w:color w:val="000000"/>
          <w:lang w:val="en-US" w:eastAsia="zh-CN"/>
        </w:rPr>
        <w:t>required timing accuracy for Msg3 transmission without Msg1/Msg2</w:t>
      </w:r>
      <w:r>
        <w:rPr>
          <w:rFonts w:hint="eastAsia" w:cs="Arial"/>
          <w:color w:val="000000"/>
          <w:lang w:val="en-US" w:eastAsia="zh-CN"/>
        </w:rPr>
        <w:t xml:space="preserve">. However, in RAN2 #129bis meeting, </w:t>
      </w:r>
      <w:r>
        <w:rPr>
          <w:rFonts w:hint="eastAsia" w:eastAsia="宋体"/>
          <w:b w:val="0"/>
          <w:bCs/>
          <w:i w:val="0"/>
          <w:iCs w:val="0"/>
          <w:lang w:val="en-US" w:eastAsia="zh-CN"/>
        </w:rPr>
        <w:t>the following agreement was achieved:</w:t>
      </w:r>
    </w:p>
    <w:p w14:paraId="0D138D00">
      <w:pPr>
        <w:pStyle w:val="54"/>
        <w:pBdr>
          <w:top w:val="single" w:color="auto" w:sz="4" w:space="1"/>
          <w:left w:val="single" w:color="auto" w:sz="4" w:space="4"/>
          <w:bottom w:val="single" w:color="auto" w:sz="4" w:space="1"/>
          <w:right w:val="single" w:color="auto" w:sz="4" w:space="4"/>
        </w:pBdr>
        <w:rPr>
          <w:lang w:eastAsia="zh-CN"/>
        </w:rPr>
      </w:pPr>
      <w:r>
        <w:rPr>
          <w:lang w:eastAsia="zh-CN"/>
        </w:rPr>
        <w:t>5.</w:t>
      </w:r>
      <w:r>
        <w:rPr>
          <w:lang w:eastAsia="zh-CN"/>
        </w:rPr>
        <w:tab/>
      </w:r>
      <w:r>
        <w:rPr>
          <w:lang w:eastAsia="zh-CN"/>
        </w:rPr>
        <w:t>We specify support for NB-IoT with 15kHz with no specific enhancements, leaving to NW implementation whether to implement this or not, accepting potential performance degradation.</w:t>
      </w:r>
    </w:p>
    <w:p w14:paraId="5ECABDE3">
      <w:pPr>
        <w:pStyle w:val="60"/>
        <w:spacing w:after="0"/>
        <w:ind w:left="0" w:firstLine="0"/>
        <w:rPr>
          <w:rFonts w:hint="default" w:eastAsia="宋体"/>
          <w:b w:val="0"/>
          <w:bCs/>
          <w:i w:val="0"/>
          <w:iCs w:val="0"/>
          <w:lang w:val="en-US" w:eastAsia="zh-CN"/>
        </w:rPr>
      </w:pPr>
      <w:r>
        <w:rPr>
          <w:rFonts w:hint="eastAsia" w:eastAsia="宋体"/>
          <w:b w:val="0"/>
          <w:bCs/>
          <w:i w:val="0"/>
          <w:iCs w:val="0"/>
          <w:lang w:val="en-US" w:eastAsia="zh-CN"/>
        </w:rPr>
        <w:t>Therefore, we could consider to support both singleTone and multiTone, and up to network implementation.</w:t>
      </w:r>
    </w:p>
    <w:p w14:paraId="0E8BB464">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11: It is proposed to support both multi-PRB allocation or sub-PRB allocation.</w:t>
      </w:r>
    </w:p>
    <w:p w14:paraId="130EB1C6">
      <w:pPr>
        <w:pStyle w:val="60"/>
        <w:spacing w:after="0"/>
        <w:ind w:left="0" w:firstLine="0"/>
        <w:rPr>
          <w:rFonts w:hint="default" w:eastAsiaTheme="minorEastAsia"/>
          <w:b/>
          <w:bCs/>
          <w:sz w:val="20"/>
          <w:szCs w:val="20"/>
          <w:lang w:val="en-US" w:eastAsia="zh-CN"/>
        </w:rPr>
      </w:pPr>
      <w:r>
        <w:rPr>
          <w:rFonts w:hint="eastAsia" w:eastAsia="宋体"/>
          <w:b/>
          <w:bCs w:val="0"/>
          <w:i w:val="0"/>
          <w:iCs w:val="0"/>
          <w:lang w:val="en-US" w:eastAsia="zh-CN"/>
        </w:rPr>
        <w:t>Proposal 12: It is proposed to support both singleTone and multiTone, and up to network implementation.</w:t>
      </w:r>
    </w:p>
    <w:bookmarkEnd w:id="2"/>
    <w:p w14:paraId="50DCDA71">
      <w:pPr>
        <w:pStyle w:val="2"/>
        <w:rPr>
          <w:rFonts w:cs="Arial"/>
          <w:sz w:val="32"/>
          <w:szCs w:val="32"/>
        </w:rPr>
      </w:pPr>
      <w:r>
        <w:rPr>
          <w:rFonts w:cs="Arial"/>
          <w:sz w:val="32"/>
          <w:szCs w:val="32"/>
        </w:rPr>
        <w:t>Conclusion</w:t>
      </w:r>
    </w:p>
    <w:p w14:paraId="5A08A942">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14:paraId="44EAF9C4">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 (MAC-2) Confirm the CB-RNTI calculation working assumption.</w:t>
      </w:r>
    </w:p>
    <w:p w14:paraId="1065B623">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(MAC-2) It is proposed to use floor(start SFN_id of Tx window / minimum Tx window periodicity] instead of the Msg3_W_index.</w:t>
      </w:r>
    </w:p>
    <w:p w14:paraId="7288451E">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3: (MAC-2) For Y, it is preferred to leave it as the current calculation formula.</w:t>
      </w:r>
    </w:p>
    <w:p w14:paraId="515D30C2">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4: (MAC-6) Not to pursue power ramping for CB-Msg3-EDT in R19.</w:t>
      </w:r>
    </w:p>
    <w:p w14:paraId="42A99281">
      <w:pPr>
        <w:rPr>
          <w:rFonts w:hint="eastAsia" w:eastAsia="宋体"/>
          <w:b/>
          <w:bCs w:val="0"/>
          <w:i w:val="0"/>
          <w:iCs w:val="0"/>
          <w:lang w:val="en-US" w:eastAsia="zh-CN"/>
        </w:rPr>
      </w:pPr>
      <w:r>
        <w:rPr>
          <w:rFonts w:hint="eastAsia" w:eastAsia="宋体"/>
          <w:b/>
          <w:bCs w:val="0"/>
          <w:i w:val="0"/>
          <w:iCs w:val="0"/>
          <w:lang w:val="en-US" w:eastAsia="zh-CN"/>
        </w:rPr>
        <w:t>Proposal 5: (MAC-9) NW/UE processing time (e.g. 4 subframes) is needed to be considered for CB-Msg4 monitoring.</w:t>
      </w:r>
    </w:p>
    <w:p w14:paraId="78621316">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6: (MAC-15) It is proposed that when the </w:t>
      </w:r>
      <w:r>
        <w:rPr>
          <w:rFonts w:hint="eastAsia" w:eastAsia="宋体"/>
          <w:b/>
          <w:bCs w:val="0"/>
          <w:i/>
          <w:iCs/>
          <w:lang w:val="en-US" w:eastAsia="zh-CN"/>
        </w:rPr>
        <w:t>CB-Msg3ResponseTimer</w:t>
      </w:r>
      <w:r>
        <w:rPr>
          <w:rFonts w:hint="eastAsia" w:eastAsia="宋体"/>
          <w:b/>
          <w:bCs w:val="0"/>
          <w:i w:val="0"/>
          <w:iCs w:val="0"/>
          <w:lang w:val="en-US" w:eastAsia="zh-CN"/>
        </w:rPr>
        <w:t xml:space="preserve"> expires and the maximum number of re-attempts has been reached, MAC notifies the RRC layer.</w:t>
      </w:r>
    </w:p>
    <w:p w14:paraId="7E0B3905">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(MAC-15) UE initiate the legacy 4-step RA procedure based on network configuration.</w:t>
      </w:r>
    </w:p>
    <w:p w14:paraId="4A956C0D">
      <w:pPr>
        <w:pStyle w:val="60"/>
        <w:spacing w:after="0"/>
        <w:ind w:left="0" w:firstLine="0"/>
        <w:rPr>
          <w:rFonts w:hint="default" w:eastAsia="宋体"/>
          <w:b/>
          <w:bCs w:val="0"/>
          <w:i w:val="0"/>
          <w:iCs w:val="0"/>
          <w:lang w:val="en-US" w:eastAsia="zh-CN"/>
        </w:rPr>
      </w:pPr>
      <w:r>
        <w:rPr>
          <w:rFonts w:hint="eastAsia" w:eastAsia="宋体"/>
          <w:b/>
          <w:bCs/>
          <w:lang w:val="en-US" w:eastAsia="zh-CN"/>
        </w:rPr>
        <w:t>Proposal 8: (MAC-20) suggest RAN2 not to consider the CQI report in R19.</w:t>
      </w:r>
    </w:p>
    <w:p w14:paraId="7238C4C1">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9: If window length or window periodicity is absent, it could implicitly indicated the two parameters are the same value, we could just provide some description in the field, further enhancement is not needed.</w:t>
      </w:r>
    </w:p>
    <w:p w14:paraId="153FFDEC">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10: It is proposed not to support OCC for CB-Msg3-EDT in R19.</w:t>
      </w:r>
    </w:p>
    <w:p w14:paraId="36AA8C6F">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11: It is proposed to support both multi-PRB allocation or sub-PRB allocation.</w:t>
      </w:r>
    </w:p>
    <w:p w14:paraId="5A5628BC">
      <w:pPr>
        <w:pStyle w:val="60"/>
        <w:spacing w:after="0"/>
        <w:ind w:left="0" w:firstLine="0"/>
        <w:rPr>
          <w:rFonts w:eastAsia="宋体" w:cs="Arial"/>
          <w:sz w:val="20"/>
          <w:szCs w:val="20"/>
        </w:rPr>
      </w:pPr>
      <w:r>
        <w:rPr>
          <w:rFonts w:hint="eastAsia" w:eastAsia="宋体"/>
          <w:b/>
          <w:bCs w:val="0"/>
          <w:i w:val="0"/>
          <w:iCs w:val="0"/>
          <w:lang w:val="en-US" w:eastAsia="zh-CN"/>
        </w:rPr>
        <w:t>Proposal 12: It is proposed to support both singleTone and multiTone, and up to network implementation.</w:t>
      </w:r>
    </w:p>
    <w:p w14:paraId="499BD8F2">
      <w:pPr>
        <w:pStyle w:val="2"/>
        <w:rPr>
          <w:rFonts w:cs="Arial"/>
          <w:sz w:val="32"/>
          <w:szCs w:val="32"/>
        </w:rPr>
      </w:pPr>
      <w:r>
        <w:rPr>
          <w:rFonts w:cs="Arial"/>
          <w:sz w:val="32"/>
          <w:szCs w:val="32"/>
        </w:rPr>
        <w:t>Reference</w:t>
      </w:r>
    </w:p>
    <w:p w14:paraId="16F7B932">
      <w:pPr>
        <w:pStyle w:val="27"/>
        <w:numPr>
          <w:ilvl w:val="0"/>
          <w:numId w:val="14"/>
        </w:numPr>
        <w:overflowPunct/>
        <w:autoSpaceDE/>
        <w:autoSpaceDN/>
        <w:adjustRightInd/>
        <w:spacing w:beforeLines="50" w:after="0"/>
        <w:jc w:val="left"/>
        <w:textAlignment w:val="auto"/>
        <w:rPr>
          <w:rFonts w:hint="eastAsia"/>
          <w:sz w:val="20"/>
          <w:szCs w:val="20"/>
        </w:rPr>
      </w:pPr>
      <w:bookmarkStart w:id="12" w:name="_In-sequence_SDU_delivery"/>
      <w:bookmarkEnd w:id="12"/>
      <w:r>
        <w:rPr>
          <w:rFonts w:hint="eastAsia"/>
          <w:sz w:val="20"/>
          <w:szCs w:val="20"/>
        </w:rPr>
        <w:t>R2-130 NR-NTN-IoT-NTN (Sergio)_ EOM</w:t>
      </w:r>
    </w:p>
    <w:p w14:paraId="6F3D75C8">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Draft_R2-250xxxx IoT NTN MAC Open issues_v15_Nokia</w:t>
      </w:r>
    </w:p>
    <w:p w14:paraId="2C027FEB">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R2-2503175 LS_CB_EDT</w:t>
      </w:r>
    </w:p>
    <w:p w14:paraId="12C87042">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R1-2504959-Reply LS to RAN2 on CB Msg3 EDT for IoT NTN Ph3</w:t>
      </w:r>
    </w:p>
    <w:p w14:paraId="7F43BC61">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R2-2500010_R1-2410895</w:t>
      </w:r>
      <w:r>
        <w:rPr>
          <w:rFonts w:hint="eastAsia" w:eastAsia="宋体"/>
          <w:sz w:val="20"/>
          <w:szCs w:val="20"/>
          <w:lang w:val="en-US" w:eastAsia="zh-CN"/>
        </w:rPr>
        <w:t xml:space="preserve"> Reply LS on OCC for CB-msg3 NPUSCH</w:t>
      </w:r>
    </w:p>
    <w:p w14:paraId="7910F957">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R2-2407920_R1-2407548</w:t>
      </w:r>
      <w:r>
        <w:rPr>
          <w:rFonts w:hint="eastAsia" w:eastAsia="宋体"/>
          <w:sz w:val="20"/>
          <w:szCs w:val="20"/>
          <w:lang w:val="en-US" w:eastAsia="zh-CN"/>
        </w:rPr>
        <w:t xml:space="preserve"> Reply LS to RAN2 on UL synchronization for contention based Msg3 transmission without Msg1/Msg2</w:t>
      </w:r>
    </w:p>
    <w:p w14:paraId="26AFA588">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R2-2407931_R4-2414114</w:t>
      </w:r>
      <w:r>
        <w:rPr>
          <w:rFonts w:hint="eastAsia" w:eastAsia="宋体"/>
          <w:sz w:val="20"/>
          <w:szCs w:val="20"/>
          <w:lang w:val="en-US" w:eastAsia="zh-CN"/>
        </w:rPr>
        <w:t xml:space="preserve"> </w:t>
      </w:r>
      <w:r>
        <w:rPr>
          <w:rFonts w:hint="eastAsia"/>
          <w:sz w:val="20"/>
          <w:szCs w:val="20"/>
        </w:rPr>
        <w:t>Reply LS to RAN2 on UL synchronization for contention based Msg3 transmission without Msg1/Msg2</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6169">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67EB3">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B2297">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71FC3">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C546D">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A116A">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6921039"/>
    <w:multiLevelType w:val="multilevel"/>
    <w:tmpl w:val="169210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DC5350"/>
    <w:multiLevelType w:val="multilevel"/>
    <w:tmpl w:val="24DC5350"/>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9970AE2"/>
    <w:multiLevelType w:val="multilevel"/>
    <w:tmpl w:val="69970AE2"/>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3">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3"/>
  </w:num>
  <w:num w:numId="11">
    <w:abstractNumId w:val="12"/>
  </w:num>
  <w:num w:numId="12">
    <w:abstractNumId w:val="2"/>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073A8"/>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4AC"/>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4AF"/>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1AB"/>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10250"/>
    <w:rsid w:val="013B0501"/>
    <w:rsid w:val="015036AA"/>
    <w:rsid w:val="015A44F2"/>
    <w:rsid w:val="015B631E"/>
    <w:rsid w:val="015E6B3B"/>
    <w:rsid w:val="016318F9"/>
    <w:rsid w:val="017A73D0"/>
    <w:rsid w:val="018248D2"/>
    <w:rsid w:val="018E0749"/>
    <w:rsid w:val="019A10AD"/>
    <w:rsid w:val="01BE63F0"/>
    <w:rsid w:val="01BF172D"/>
    <w:rsid w:val="01C87062"/>
    <w:rsid w:val="01DC28F9"/>
    <w:rsid w:val="01E74520"/>
    <w:rsid w:val="01E91E6C"/>
    <w:rsid w:val="02252FA1"/>
    <w:rsid w:val="022F4B03"/>
    <w:rsid w:val="026918FA"/>
    <w:rsid w:val="02744528"/>
    <w:rsid w:val="02877C19"/>
    <w:rsid w:val="02883D06"/>
    <w:rsid w:val="028D67E7"/>
    <w:rsid w:val="02960B8F"/>
    <w:rsid w:val="02C27267"/>
    <w:rsid w:val="02CC0A1F"/>
    <w:rsid w:val="02D27F6C"/>
    <w:rsid w:val="03032BFE"/>
    <w:rsid w:val="033159F7"/>
    <w:rsid w:val="035845AA"/>
    <w:rsid w:val="03A11802"/>
    <w:rsid w:val="03C4291F"/>
    <w:rsid w:val="03F47F88"/>
    <w:rsid w:val="0416334A"/>
    <w:rsid w:val="044075AD"/>
    <w:rsid w:val="047B67D9"/>
    <w:rsid w:val="048A5003"/>
    <w:rsid w:val="04972CE9"/>
    <w:rsid w:val="04A13B04"/>
    <w:rsid w:val="04B403C6"/>
    <w:rsid w:val="04BC080F"/>
    <w:rsid w:val="04BF107F"/>
    <w:rsid w:val="04D25727"/>
    <w:rsid w:val="04DA176A"/>
    <w:rsid w:val="04F07943"/>
    <w:rsid w:val="04F50E2F"/>
    <w:rsid w:val="051D3A75"/>
    <w:rsid w:val="053D764A"/>
    <w:rsid w:val="05480966"/>
    <w:rsid w:val="05606A49"/>
    <w:rsid w:val="05815ECC"/>
    <w:rsid w:val="05983EBC"/>
    <w:rsid w:val="05A35E9B"/>
    <w:rsid w:val="06077EDA"/>
    <w:rsid w:val="06147CD7"/>
    <w:rsid w:val="062507FE"/>
    <w:rsid w:val="06254DA5"/>
    <w:rsid w:val="06261BBF"/>
    <w:rsid w:val="0654248D"/>
    <w:rsid w:val="06565EAE"/>
    <w:rsid w:val="06724B04"/>
    <w:rsid w:val="06D511C9"/>
    <w:rsid w:val="06FB0D1A"/>
    <w:rsid w:val="07046057"/>
    <w:rsid w:val="0763222E"/>
    <w:rsid w:val="078B43FE"/>
    <w:rsid w:val="078C1F33"/>
    <w:rsid w:val="07B241B1"/>
    <w:rsid w:val="07B959B1"/>
    <w:rsid w:val="07BD374D"/>
    <w:rsid w:val="07E007E1"/>
    <w:rsid w:val="07E769A5"/>
    <w:rsid w:val="07EF7893"/>
    <w:rsid w:val="07FE58BF"/>
    <w:rsid w:val="08350D3C"/>
    <w:rsid w:val="083F0917"/>
    <w:rsid w:val="0841118C"/>
    <w:rsid w:val="085975B9"/>
    <w:rsid w:val="08AA4C4F"/>
    <w:rsid w:val="08AF444E"/>
    <w:rsid w:val="08D13662"/>
    <w:rsid w:val="08F65DA6"/>
    <w:rsid w:val="09133D3D"/>
    <w:rsid w:val="09265392"/>
    <w:rsid w:val="09404A17"/>
    <w:rsid w:val="09445DC6"/>
    <w:rsid w:val="099F3AB4"/>
    <w:rsid w:val="09BB5B6F"/>
    <w:rsid w:val="09BD14D1"/>
    <w:rsid w:val="09D15497"/>
    <w:rsid w:val="09E47F26"/>
    <w:rsid w:val="09F46CE4"/>
    <w:rsid w:val="0A1A51CE"/>
    <w:rsid w:val="0A3F21EB"/>
    <w:rsid w:val="0A5E59A5"/>
    <w:rsid w:val="0A9049CA"/>
    <w:rsid w:val="0A9740DA"/>
    <w:rsid w:val="0AA40C7E"/>
    <w:rsid w:val="0ABF444C"/>
    <w:rsid w:val="0ACC0F45"/>
    <w:rsid w:val="0ACC7712"/>
    <w:rsid w:val="0AD344B5"/>
    <w:rsid w:val="0AF301D5"/>
    <w:rsid w:val="0B1C70ED"/>
    <w:rsid w:val="0B263982"/>
    <w:rsid w:val="0B4A1814"/>
    <w:rsid w:val="0B510D2F"/>
    <w:rsid w:val="0B5B0FE9"/>
    <w:rsid w:val="0B767B3C"/>
    <w:rsid w:val="0BC00CC2"/>
    <w:rsid w:val="0BC8278A"/>
    <w:rsid w:val="0BCF37C5"/>
    <w:rsid w:val="0BD60B5C"/>
    <w:rsid w:val="0C0E133A"/>
    <w:rsid w:val="0C4B2410"/>
    <w:rsid w:val="0C4C20FB"/>
    <w:rsid w:val="0C583F4F"/>
    <w:rsid w:val="0C9476AD"/>
    <w:rsid w:val="0C984883"/>
    <w:rsid w:val="0CAE5B2E"/>
    <w:rsid w:val="0CB62C06"/>
    <w:rsid w:val="0CB9526E"/>
    <w:rsid w:val="0CCB1DB0"/>
    <w:rsid w:val="0CD409FF"/>
    <w:rsid w:val="0D154957"/>
    <w:rsid w:val="0D2070C0"/>
    <w:rsid w:val="0D392BF7"/>
    <w:rsid w:val="0D4603FC"/>
    <w:rsid w:val="0D524167"/>
    <w:rsid w:val="0D587FCA"/>
    <w:rsid w:val="0D5E38BE"/>
    <w:rsid w:val="0D681ED9"/>
    <w:rsid w:val="0D6C179F"/>
    <w:rsid w:val="0DA013F6"/>
    <w:rsid w:val="0DC805D0"/>
    <w:rsid w:val="0DD37E92"/>
    <w:rsid w:val="0DDB664A"/>
    <w:rsid w:val="0DEF4D1F"/>
    <w:rsid w:val="0DF76F61"/>
    <w:rsid w:val="0E336CD8"/>
    <w:rsid w:val="0E5E559E"/>
    <w:rsid w:val="0E794941"/>
    <w:rsid w:val="0E7D2924"/>
    <w:rsid w:val="0E891356"/>
    <w:rsid w:val="0E997EF0"/>
    <w:rsid w:val="0E9F5DF3"/>
    <w:rsid w:val="0EC440FF"/>
    <w:rsid w:val="0EF139CD"/>
    <w:rsid w:val="0EF62EBF"/>
    <w:rsid w:val="0F20565C"/>
    <w:rsid w:val="0F347D85"/>
    <w:rsid w:val="0F533C48"/>
    <w:rsid w:val="0F54512E"/>
    <w:rsid w:val="0F583308"/>
    <w:rsid w:val="0F677C8C"/>
    <w:rsid w:val="0FB354FB"/>
    <w:rsid w:val="0FCC0A5A"/>
    <w:rsid w:val="0FE0018D"/>
    <w:rsid w:val="0FE60171"/>
    <w:rsid w:val="0FF525AC"/>
    <w:rsid w:val="0FF56E7B"/>
    <w:rsid w:val="101429FA"/>
    <w:rsid w:val="1020435C"/>
    <w:rsid w:val="10221AC0"/>
    <w:rsid w:val="108131DD"/>
    <w:rsid w:val="108B7105"/>
    <w:rsid w:val="109D3DB9"/>
    <w:rsid w:val="10A83D36"/>
    <w:rsid w:val="10D43ED3"/>
    <w:rsid w:val="10E4254B"/>
    <w:rsid w:val="11043CD0"/>
    <w:rsid w:val="110F10D1"/>
    <w:rsid w:val="114015F3"/>
    <w:rsid w:val="118D209C"/>
    <w:rsid w:val="11B82D63"/>
    <w:rsid w:val="11BC1B28"/>
    <w:rsid w:val="11C5063A"/>
    <w:rsid w:val="11D1013A"/>
    <w:rsid w:val="123A4B72"/>
    <w:rsid w:val="123B45F5"/>
    <w:rsid w:val="126740CC"/>
    <w:rsid w:val="126E6ACC"/>
    <w:rsid w:val="12980C87"/>
    <w:rsid w:val="12B27083"/>
    <w:rsid w:val="12BA7EC6"/>
    <w:rsid w:val="12C17224"/>
    <w:rsid w:val="12D20EAC"/>
    <w:rsid w:val="12E13527"/>
    <w:rsid w:val="13116F0E"/>
    <w:rsid w:val="13132FCE"/>
    <w:rsid w:val="13420F11"/>
    <w:rsid w:val="134A0035"/>
    <w:rsid w:val="135C7F4F"/>
    <w:rsid w:val="1382544E"/>
    <w:rsid w:val="13997B36"/>
    <w:rsid w:val="14093E0E"/>
    <w:rsid w:val="141B1C76"/>
    <w:rsid w:val="142476E5"/>
    <w:rsid w:val="14554736"/>
    <w:rsid w:val="14651130"/>
    <w:rsid w:val="147F5DFE"/>
    <w:rsid w:val="149D38A2"/>
    <w:rsid w:val="14A20FFB"/>
    <w:rsid w:val="14B82DC6"/>
    <w:rsid w:val="14C758A8"/>
    <w:rsid w:val="153214F9"/>
    <w:rsid w:val="153372CB"/>
    <w:rsid w:val="15BB6BFE"/>
    <w:rsid w:val="15C978C2"/>
    <w:rsid w:val="16150148"/>
    <w:rsid w:val="16364236"/>
    <w:rsid w:val="16563130"/>
    <w:rsid w:val="165936E5"/>
    <w:rsid w:val="168F5442"/>
    <w:rsid w:val="169343E9"/>
    <w:rsid w:val="16937481"/>
    <w:rsid w:val="169F4A5E"/>
    <w:rsid w:val="16A42650"/>
    <w:rsid w:val="16AA08E2"/>
    <w:rsid w:val="16B421B4"/>
    <w:rsid w:val="16E648E1"/>
    <w:rsid w:val="16E779EB"/>
    <w:rsid w:val="16F24CA6"/>
    <w:rsid w:val="171A035F"/>
    <w:rsid w:val="171B31CF"/>
    <w:rsid w:val="17463BEB"/>
    <w:rsid w:val="176B6614"/>
    <w:rsid w:val="177E36D0"/>
    <w:rsid w:val="179450F0"/>
    <w:rsid w:val="17945CA4"/>
    <w:rsid w:val="17B9283A"/>
    <w:rsid w:val="17DA51C1"/>
    <w:rsid w:val="17DE2421"/>
    <w:rsid w:val="180E362D"/>
    <w:rsid w:val="181B2E1C"/>
    <w:rsid w:val="1831173C"/>
    <w:rsid w:val="18571522"/>
    <w:rsid w:val="18571828"/>
    <w:rsid w:val="18787128"/>
    <w:rsid w:val="18B278BB"/>
    <w:rsid w:val="18B9619D"/>
    <w:rsid w:val="18DB00CA"/>
    <w:rsid w:val="18E402E6"/>
    <w:rsid w:val="18FA292B"/>
    <w:rsid w:val="190A668D"/>
    <w:rsid w:val="191242AE"/>
    <w:rsid w:val="192472E7"/>
    <w:rsid w:val="195B3A6D"/>
    <w:rsid w:val="19766DFD"/>
    <w:rsid w:val="19AC5C42"/>
    <w:rsid w:val="19BC1AC5"/>
    <w:rsid w:val="19D92839"/>
    <w:rsid w:val="1A097878"/>
    <w:rsid w:val="1A201089"/>
    <w:rsid w:val="1A330485"/>
    <w:rsid w:val="1A520606"/>
    <w:rsid w:val="1A8123C9"/>
    <w:rsid w:val="1A913825"/>
    <w:rsid w:val="1A937926"/>
    <w:rsid w:val="1AA366F2"/>
    <w:rsid w:val="1AA72145"/>
    <w:rsid w:val="1AC82085"/>
    <w:rsid w:val="1ACC411C"/>
    <w:rsid w:val="1AE060D9"/>
    <w:rsid w:val="1AEF5DBD"/>
    <w:rsid w:val="1B244200"/>
    <w:rsid w:val="1B423649"/>
    <w:rsid w:val="1B510746"/>
    <w:rsid w:val="1B6D3DE5"/>
    <w:rsid w:val="1B7D0451"/>
    <w:rsid w:val="1B885520"/>
    <w:rsid w:val="1BA24967"/>
    <w:rsid w:val="1BD95F94"/>
    <w:rsid w:val="1BDA5141"/>
    <w:rsid w:val="1BE600D8"/>
    <w:rsid w:val="1C227D6B"/>
    <w:rsid w:val="1C3D1CD0"/>
    <w:rsid w:val="1C5906B1"/>
    <w:rsid w:val="1C5E7298"/>
    <w:rsid w:val="1C6A380D"/>
    <w:rsid w:val="1C7406F9"/>
    <w:rsid w:val="1C851710"/>
    <w:rsid w:val="1C917FBA"/>
    <w:rsid w:val="1C975FDE"/>
    <w:rsid w:val="1CE6681A"/>
    <w:rsid w:val="1CEC1A8F"/>
    <w:rsid w:val="1D080ABD"/>
    <w:rsid w:val="1D1367F1"/>
    <w:rsid w:val="1D232F19"/>
    <w:rsid w:val="1D33546C"/>
    <w:rsid w:val="1D5109FF"/>
    <w:rsid w:val="1D586DE4"/>
    <w:rsid w:val="1D712D7E"/>
    <w:rsid w:val="1DAF6046"/>
    <w:rsid w:val="1DBA5005"/>
    <w:rsid w:val="1DD14FB1"/>
    <w:rsid w:val="1DDD518B"/>
    <w:rsid w:val="1E1507D7"/>
    <w:rsid w:val="1E3072B7"/>
    <w:rsid w:val="1E3A3085"/>
    <w:rsid w:val="1E403C53"/>
    <w:rsid w:val="1EA20D4A"/>
    <w:rsid w:val="1EAA6DF5"/>
    <w:rsid w:val="1EC73834"/>
    <w:rsid w:val="1ECC19F8"/>
    <w:rsid w:val="1EFF6958"/>
    <w:rsid w:val="1F062DA3"/>
    <w:rsid w:val="1F0926FA"/>
    <w:rsid w:val="1F0A1209"/>
    <w:rsid w:val="1F5D2ECE"/>
    <w:rsid w:val="1F734328"/>
    <w:rsid w:val="1F755F9E"/>
    <w:rsid w:val="1F837506"/>
    <w:rsid w:val="1FA11974"/>
    <w:rsid w:val="1FAE283E"/>
    <w:rsid w:val="1FB32543"/>
    <w:rsid w:val="1FC14404"/>
    <w:rsid w:val="1FC34EDD"/>
    <w:rsid w:val="1FE7149B"/>
    <w:rsid w:val="2016567C"/>
    <w:rsid w:val="20203DE8"/>
    <w:rsid w:val="2031215C"/>
    <w:rsid w:val="203E0B35"/>
    <w:rsid w:val="20465079"/>
    <w:rsid w:val="204E000A"/>
    <w:rsid w:val="20764B90"/>
    <w:rsid w:val="20955704"/>
    <w:rsid w:val="209668DF"/>
    <w:rsid w:val="20AA6407"/>
    <w:rsid w:val="20DB7C51"/>
    <w:rsid w:val="20E9518E"/>
    <w:rsid w:val="20E96FA9"/>
    <w:rsid w:val="20FE42D5"/>
    <w:rsid w:val="211313D4"/>
    <w:rsid w:val="21211C03"/>
    <w:rsid w:val="21234291"/>
    <w:rsid w:val="21790DFD"/>
    <w:rsid w:val="21CB1EFE"/>
    <w:rsid w:val="21E52206"/>
    <w:rsid w:val="21F86645"/>
    <w:rsid w:val="22752EBE"/>
    <w:rsid w:val="228C2EBD"/>
    <w:rsid w:val="22B67B93"/>
    <w:rsid w:val="22C4562D"/>
    <w:rsid w:val="22ED3D4D"/>
    <w:rsid w:val="23144387"/>
    <w:rsid w:val="234E7F45"/>
    <w:rsid w:val="23686144"/>
    <w:rsid w:val="23734838"/>
    <w:rsid w:val="239A17D4"/>
    <w:rsid w:val="239F51B6"/>
    <w:rsid w:val="23A25387"/>
    <w:rsid w:val="23B53D5F"/>
    <w:rsid w:val="23EC4846"/>
    <w:rsid w:val="23FE088F"/>
    <w:rsid w:val="241B2FD5"/>
    <w:rsid w:val="241B76CB"/>
    <w:rsid w:val="242445BB"/>
    <w:rsid w:val="242D2419"/>
    <w:rsid w:val="243F039F"/>
    <w:rsid w:val="245B6D34"/>
    <w:rsid w:val="24641BC2"/>
    <w:rsid w:val="24746E7E"/>
    <w:rsid w:val="24A52F19"/>
    <w:rsid w:val="24A83609"/>
    <w:rsid w:val="24AE0DF0"/>
    <w:rsid w:val="24B5447A"/>
    <w:rsid w:val="24B82068"/>
    <w:rsid w:val="24BF30A2"/>
    <w:rsid w:val="24E10292"/>
    <w:rsid w:val="25043CC9"/>
    <w:rsid w:val="251B6678"/>
    <w:rsid w:val="253F619D"/>
    <w:rsid w:val="25B32998"/>
    <w:rsid w:val="25D913C5"/>
    <w:rsid w:val="25F5280B"/>
    <w:rsid w:val="260F2F48"/>
    <w:rsid w:val="26164BD6"/>
    <w:rsid w:val="26281CED"/>
    <w:rsid w:val="265D0D96"/>
    <w:rsid w:val="267E798D"/>
    <w:rsid w:val="269447EB"/>
    <w:rsid w:val="26996738"/>
    <w:rsid w:val="26A07F46"/>
    <w:rsid w:val="26A83741"/>
    <w:rsid w:val="26B3451E"/>
    <w:rsid w:val="26D47A62"/>
    <w:rsid w:val="26DF133E"/>
    <w:rsid w:val="270B158D"/>
    <w:rsid w:val="2716482E"/>
    <w:rsid w:val="27306E68"/>
    <w:rsid w:val="27606908"/>
    <w:rsid w:val="276D70AB"/>
    <w:rsid w:val="277E77C1"/>
    <w:rsid w:val="27936CC4"/>
    <w:rsid w:val="2798385E"/>
    <w:rsid w:val="27AE47D9"/>
    <w:rsid w:val="27BA14D2"/>
    <w:rsid w:val="27E26E59"/>
    <w:rsid w:val="27FF2871"/>
    <w:rsid w:val="2809471B"/>
    <w:rsid w:val="28165B67"/>
    <w:rsid w:val="281C1CDD"/>
    <w:rsid w:val="28255BB3"/>
    <w:rsid w:val="282B0C73"/>
    <w:rsid w:val="285478B9"/>
    <w:rsid w:val="28603CA4"/>
    <w:rsid w:val="287D5E75"/>
    <w:rsid w:val="28853060"/>
    <w:rsid w:val="28901C9C"/>
    <w:rsid w:val="28AD0B61"/>
    <w:rsid w:val="29395F5F"/>
    <w:rsid w:val="29423CBE"/>
    <w:rsid w:val="29CD3FA9"/>
    <w:rsid w:val="2A1862C4"/>
    <w:rsid w:val="2A216EA5"/>
    <w:rsid w:val="2A4B23FB"/>
    <w:rsid w:val="2A4E733E"/>
    <w:rsid w:val="2A552F13"/>
    <w:rsid w:val="2A683743"/>
    <w:rsid w:val="2AB1519A"/>
    <w:rsid w:val="2AB23356"/>
    <w:rsid w:val="2AC455D6"/>
    <w:rsid w:val="2AC82235"/>
    <w:rsid w:val="2AD207D3"/>
    <w:rsid w:val="2ADF5799"/>
    <w:rsid w:val="2AE33A7E"/>
    <w:rsid w:val="2AE33B5B"/>
    <w:rsid w:val="2AF0613E"/>
    <w:rsid w:val="2B083F92"/>
    <w:rsid w:val="2B542A45"/>
    <w:rsid w:val="2B7E102C"/>
    <w:rsid w:val="2BAA7CD5"/>
    <w:rsid w:val="2BAB4C9B"/>
    <w:rsid w:val="2BB96BD3"/>
    <w:rsid w:val="2BBC7BA8"/>
    <w:rsid w:val="2BBD0B4F"/>
    <w:rsid w:val="2BC72D99"/>
    <w:rsid w:val="2BE54292"/>
    <w:rsid w:val="2BED67F1"/>
    <w:rsid w:val="2BF75779"/>
    <w:rsid w:val="2BFA63F7"/>
    <w:rsid w:val="2BFC2B9D"/>
    <w:rsid w:val="2C285659"/>
    <w:rsid w:val="2C2D46CF"/>
    <w:rsid w:val="2C386CC6"/>
    <w:rsid w:val="2C9F2631"/>
    <w:rsid w:val="2CA75769"/>
    <w:rsid w:val="2CAB1588"/>
    <w:rsid w:val="2CAF71DE"/>
    <w:rsid w:val="2CF427E8"/>
    <w:rsid w:val="2CF51ED1"/>
    <w:rsid w:val="2CF92978"/>
    <w:rsid w:val="2CFA23BD"/>
    <w:rsid w:val="2CFC1EA5"/>
    <w:rsid w:val="2D1D15EF"/>
    <w:rsid w:val="2D285AA4"/>
    <w:rsid w:val="2D357D16"/>
    <w:rsid w:val="2D3B228A"/>
    <w:rsid w:val="2D49791E"/>
    <w:rsid w:val="2D5923F4"/>
    <w:rsid w:val="2D8523AE"/>
    <w:rsid w:val="2D8F2692"/>
    <w:rsid w:val="2D9E1569"/>
    <w:rsid w:val="2D9F7C96"/>
    <w:rsid w:val="2DB6192E"/>
    <w:rsid w:val="2DBE4358"/>
    <w:rsid w:val="2DF36570"/>
    <w:rsid w:val="2E077198"/>
    <w:rsid w:val="2E103F98"/>
    <w:rsid w:val="2E1E32C5"/>
    <w:rsid w:val="2E32053F"/>
    <w:rsid w:val="2E471980"/>
    <w:rsid w:val="2EB775B3"/>
    <w:rsid w:val="2ECD5251"/>
    <w:rsid w:val="2EE85B84"/>
    <w:rsid w:val="2EE962FC"/>
    <w:rsid w:val="2EEF202D"/>
    <w:rsid w:val="2EF94A67"/>
    <w:rsid w:val="2EFC31BC"/>
    <w:rsid w:val="2F2F4C2C"/>
    <w:rsid w:val="2F3D4E71"/>
    <w:rsid w:val="2F675431"/>
    <w:rsid w:val="2FC8307B"/>
    <w:rsid w:val="2FE0477A"/>
    <w:rsid w:val="30296190"/>
    <w:rsid w:val="302E07AF"/>
    <w:rsid w:val="305B1715"/>
    <w:rsid w:val="306F1C32"/>
    <w:rsid w:val="30866EAA"/>
    <w:rsid w:val="30946552"/>
    <w:rsid w:val="309E20B5"/>
    <w:rsid w:val="30F3431F"/>
    <w:rsid w:val="311B0263"/>
    <w:rsid w:val="31220B9D"/>
    <w:rsid w:val="31503E5A"/>
    <w:rsid w:val="316D7D0D"/>
    <w:rsid w:val="31954D9F"/>
    <w:rsid w:val="31985671"/>
    <w:rsid w:val="319D3380"/>
    <w:rsid w:val="31AE180F"/>
    <w:rsid w:val="31B859A2"/>
    <w:rsid w:val="32345EC8"/>
    <w:rsid w:val="325A5477"/>
    <w:rsid w:val="3262022D"/>
    <w:rsid w:val="32680122"/>
    <w:rsid w:val="326B2AB6"/>
    <w:rsid w:val="32951F88"/>
    <w:rsid w:val="32A942B0"/>
    <w:rsid w:val="32E00B45"/>
    <w:rsid w:val="32F13120"/>
    <w:rsid w:val="33193629"/>
    <w:rsid w:val="333000CE"/>
    <w:rsid w:val="33332C04"/>
    <w:rsid w:val="333663A2"/>
    <w:rsid w:val="33417FD4"/>
    <w:rsid w:val="335B55F1"/>
    <w:rsid w:val="335B7C59"/>
    <w:rsid w:val="33863C3A"/>
    <w:rsid w:val="33A72691"/>
    <w:rsid w:val="33A81036"/>
    <w:rsid w:val="33C65D7B"/>
    <w:rsid w:val="33E26367"/>
    <w:rsid w:val="33F614DE"/>
    <w:rsid w:val="34035788"/>
    <w:rsid w:val="34056B80"/>
    <w:rsid w:val="341821F3"/>
    <w:rsid w:val="34207E90"/>
    <w:rsid w:val="342C61EA"/>
    <w:rsid w:val="344E25FB"/>
    <w:rsid w:val="3463411E"/>
    <w:rsid w:val="34914DCA"/>
    <w:rsid w:val="34BC2DB9"/>
    <w:rsid w:val="34C07CB8"/>
    <w:rsid w:val="34C6331F"/>
    <w:rsid w:val="34D57E3D"/>
    <w:rsid w:val="34D95BB9"/>
    <w:rsid w:val="34F07737"/>
    <w:rsid w:val="34F54AEF"/>
    <w:rsid w:val="34F97D00"/>
    <w:rsid w:val="35050B53"/>
    <w:rsid w:val="35167BBE"/>
    <w:rsid w:val="354D014F"/>
    <w:rsid w:val="35502BD2"/>
    <w:rsid w:val="356154A3"/>
    <w:rsid w:val="35821F4C"/>
    <w:rsid w:val="35A02ACA"/>
    <w:rsid w:val="35A10D2D"/>
    <w:rsid w:val="35A35F0C"/>
    <w:rsid w:val="35A43DB0"/>
    <w:rsid w:val="35C34250"/>
    <w:rsid w:val="35D052C3"/>
    <w:rsid w:val="360F7F4E"/>
    <w:rsid w:val="361C2353"/>
    <w:rsid w:val="3635547B"/>
    <w:rsid w:val="365C6586"/>
    <w:rsid w:val="3663541C"/>
    <w:rsid w:val="366D52F6"/>
    <w:rsid w:val="36734998"/>
    <w:rsid w:val="36746B61"/>
    <w:rsid w:val="368107EA"/>
    <w:rsid w:val="368A2619"/>
    <w:rsid w:val="36A9407C"/>
    <w:rsid w:val="36CA7953"/>
    <w:rsid w:val="36CB737E"/>
    <w:rsid w:val="36CD2176"/>
    <w:rsid w:val="36EB7395"/>
    <w:rsid w:val="36FA1D41"/>
    <w:rsid w:val="37164985"/>
    <w:rsid w:val="373D5EAE"/>
    <w:rsid w:val="378D7453"/>
    <w:rsid w:val="37A04752"/>
    <w:rsid w:val="37C2178A"/>
    <w:rsid w:val="37D61EDD"/>
    <w:rsid w:val="37E26F6D"/>
    <w:rsid w:val="37E93248"/>
    <w:rsid w:val="37F97B97"/>
    <w:rsid w:val="38002E12"/>
    <w:rsid w:val="380411EC"/>
    <w:rsid w:val="38076DFF"/>
    <w:rsid w:val="380C1A90"/>
    <w:rsid w:val="3829480D"/>
    <w:rsid w:val="382E1A0F"/>
    <w:rsid w:val="383529C2"/>
    <w:rsid w:val="383C5BD0"/>
    <w:rsid w:val="38536D3F"/>
    <w:rsid w:val="385C7633"/>
    <w:rsid w:val="387B61F0"/>
    <w:rsid w:val="387D26D9"/>
    <w:rsid w:val="388727CC"/>
    <w:rsid w:val="38922D5C"/>
    <w:rsid w:val="38CE22F4"/>
    <w:rsid w:val="39024B57"/>
    <w:rsid w:val="390C2363"/>
    <w:rsid w:val="392B32DA"/>
    <w:rsid w:val="39804845"/>
    <w:rsid w:val="39C504E0"/>
    <w:rsid w:val="39DB3CB0"/>
    <w:rsid w:val="3A02147B"/>
    <w:rsid w:val="3A06167E"/>
    <w:rsid w:val="3A3665DD"/>
    <w:rsid w:val="3A661625"/>
    <w:rsid w:val="3A6F42D5"/>
    <w:rsid w:val="3A82293D"/>
    <w:rsid w:val="3A8F59B9"/>
    <w:rsid w:val="3A9E2AD9"/>
    <w:rsid w:val="3AC57875"/>
    <w:rsid w:val="3AE305E5"/>
    <w:rsid w:val="3AE309A9"/>
    <w:rsid w:val="3AEF40DA"/>
    <w:rsid w:val="3B596DF7"/>
    <w:rsid w:val="3B9144AD"/>
    <w:rsid w:val="3BB05F4E"/>
    <w:rsid w:val="3BC23F1A"/>
    <w:rsid w:val="3BC52C1E"/>
    <w:rsid w:val="3BC84906"/>
    <w:rsid w:val="3BCC6DCC"/>
    <w:rsid w:val="3BD263CF"/>
    <w:rsid w:val="3C1C6AA4"/>
    <w:rsid w:val="3C2A7289"/>
    <w:rsid w:val="3C5503C9"/>
    <w:rsid w:val="3C6D30EA"/>
    <w:rsid w:val="3C6D47EB"/>
    <w:rsid w:val="3C9A7896"/>
    <w:rsid w:val="3CCB7AFB"/>
    <w:rsid w:val="3CCD42A3"/>
    <w:rsid w:val="3CD8469E"/>
    <w:rsid w:val="3CE24E25"/>
    <w:rsid w:val="3D1C5375"/>
    <w:rsid w:val="3D2C7D07"/>
    <w:rsid w:val="3D2E7413"/>
    <w:rsid w:val="3D406D01"/>
    <w:rsid w:val="3D4E0A24"/>
    <w:rsid w:val="3D54332A"/>
    <w:rsid w:val="3D5934AC"/>
    <w:rsid w:val="3D966C01"/>
    <w:rsid w:val="3DA51E2F"/>
    <w:rsid w:val="3DAD422D"/>
    <w:rsid w:val="3DB33860"/>
    <w:rsid w:val="3DB43891"/>
    <w:rsid w:val="3DCE20C0"/>
    <w:rsid w:val="3E0B7BD9"/>
    <w:rsid w:val="3E186E88"/>
    <w:rsid w:val="3E267F59"/>
    <w:rsid w:val="3E4456FC"/>
    <w:rsid w:val="3E6D4B50"/>
    <w:rsid w:val="3EA877DC"/>
    <w:rsid w:val="3ECD0998"/>
    <w:rsid w:val="3F1E12A1"/>
    <w:rsid w:val="3F1F34C2"/>
    <w:rsid w:val="3F517567"/>
    <w:rsid w:val="3F7117D8"/>
    <w:rsid w:val="3F71199A"/>
    <w:rsid w:val="3FBC4AE3"/>
    <w:rsid w:val="3FDA7C86"/>
    <w:rsid w:val="3FEB0FB3"/>
    <w:rsid w:val="40325295"/>
    <w:rsid w:val="407C021F"/>
    <w:rsid w:val="40CC3888"/>
    <w:rsid w:val="40F33173"/>
    <w:rsid w:val="40F82E28"/>
    <w:rsid w:val="40FD409F"/>
    <w:rsid w:val="41585AC3"/>
    <w:rsid w:val="41710521"/>
    <w:rsid w:val="41907B84"/>
    <w:rsid w:val="41B34CCB"/>
    <w:rsid w:val="41C87C60"/>
    <w:rsid w:val="41C96466"/>
    <w:rsid w:val="41CB3970"/>
    <w:rsid w:val="41F85DEA"/>
    <w:rsid w:val="420610DF"/>
    <w:rsid w:val="426E0BA8"/>
    <w:rsid w:val="429544E1"/>
    <w:rsid w:val="42CE6929"/>
    <w:rsid w:val="42D2035F"/>
    <w:rsid w:val="42F71CEC"/>
    <w:rsid w:val="430879DC"/>
    <w:rsid w:val="431A7D55"/>
    <w:rsid w:val="43506E29"/>
    <w:rsid w:val="43A77C24"/>
    <w:rsid w:val="43C65B01"/>
    <w:rsid w:val="43DF4E15"/>
    <w:rsid w:val="43E53BCD"/>
    <w:rsid w:val="43F03364"/>
    <w:rsid w:val="443B107F"/>
    <w:rsid w:val="44776D6B"/>
    <w:rsid w:val="44843D36"/>
    <w:rsid w:val="448C5AFF"/>
    <w:rsid w:val="44B14540"/>
    <w:rsid w:val="44BA04B8"/>
    <w:rsid w:val="44BA7E1E"/>
    <w:rsid w:val="44BE79C3"/>
    <w:rsid w:val="44FC1813"/>
    <w:rsid w:val="452420E2"/>
    <w:rsid w:val="4535668D"/>
    <w:rsid w:val="45394DB9"/>
    <w:rsid w:val="45445D92"/>
    <w:rsid w:val="455340E3"/>
    <w:rsid w:val="45711C90"/>
    <w:rsid w:val="45B126DA"/>
    <w:rsid w:val="45CA31DA"/>
    <w:rsid w:val="45D07D13"/>
    <w:rsid w:val="45D50D55"/>
    <w:rsid w:val="45EC6821"/>
    <w:rsid w:val="45F303D0"/>
    <w:rsid w:val="45F84858"/>
    <w:rsid w:val="45FA5E10"/>
    <w:rsid w:val="46126B44"/>
    <w:rsid w:val="461C7CAF"/>
    <w:rsid w:val="462356B3"/>
    <w:rsid w:val="464004CF"/>
    <w:rsid w:val="4673772B"/>
    <w:rsid w:val="46A55352"/>
    <w:rsid w:val="46A721BD"/>
    <w:rsid w:val="46AD4DCD"/>
    <w:rsid w:val="46B51FCF"/>
    <w:rsid w:val="46BA0199"/>
    <w:rsid w:val="46CB7E93"/>
    <w:rsid w:val="46FF6AF5"/>
    <w:rsid w:val="47062A9A"/>
    <w:rsid w:val="470B4500"/>
    <w:rsid w:val="47105324"/>
    <w:rsid w:val="47200620"/>
    <w:rsid w:val="47344E1D"/>
    <w:rsid w:val="47472660"/>
    <w:rsid w:val="476E313F"/>
    <w:rsid w:val="47993F84"/>
    <w:rsid w:val="47BD666C"/>
    <w:rsid w:val="47DB6CDA"/>
    <w:rsid w:val="480A17DC"/>
    <w:rsid w:val="48200E57"/>
    <w:rsid w:val="487E54FB"/>
    <w:rsid w:val="4896658D"/>
    <w:rsid w:val="489E3831"/>
    <w:rsid w:val="48B82362"/>
    <w:rsid w:val="48C74591"/>
    <w:rsid w:val="48F324BB"/>
    <w:rsid w:val="496B7967"/>
    <w:rsid w:val="497F7FCC"/>
    <w:rsid w:val="49B17433"/>
    <w:rsid w:val="49BB5658"/>
    <w:rsid w:val="4A284A82"/>
    <w:rsid w:val="4A37434D"/>
    <w:rsid w:val="4A662E1D"/>
    <w:rsid w:val="4A7E32B4"/>
    <w:rsid w:val="4A87256B"/>
    <w:rsid w:val="4A8D197C"/>
    <w:rsid w:val="4A984665"/>
    <w:rsid w:val="4AF07359"/>
    <w:rsid w:val="4AFC533A"/>
    <w:rsid w:val="4B064DD3"/>
    <w:rsid w:val="4B124769"/>
    <w:rsid w:val="4B1367B9"/>
    <w:rsid w:val="4B1A6B3E"/>
    <w:rsid w:val="4B310836"/>
    <w:rsid w:val="4B316DE7"/>
    <w:rsid w:val="4B400658"/>
    <w:rsid w:val="4B565C38"/>
    <w:rsid w:val="4B6C530A"/>
    <w:rsid w:val="4B6D7831"/>
    <w:rsid w:val="4B6F0508"/>
    <w:rsid w:val="4B8D0855"/>
    <w:rsid w:val="4B920891"/>
    <w:rsid w:val="4B9C680D"/>
    <w:rsid w:val="4BB221B4"/>
    <w:rsid w:val="4BC879CC"/>
    <w:rsid w:val="4BED7351"/>
    <w:rsid w:val="4BF0660D"/>
    <w:rsid w:val="4BF36AB1"/>
    <w:rsid w:val="4C1048EF"/>
    <w:rsid w:val="4C1B6FEB"/>
    <w:rsid w:val="4C242CE7"/>
    <w:rsid w:val="4C353BC7"/>
    <w:rsid w:val="4C3B1D32"/>
    <w:rsid w:val="4C513C42"/>
    <w:rsid w:val="4C5D54D6"/>
    <w:rsid w:val="4C5D7FB2"/>
    <w:rsid w:val="4C7E17F0"/>
    <w:rsid w:val="4C814518"/>
    <w:rsid w:val="4C91315E"/>
    <w:rsid w:val="4CAD0872"/>
    <w:rsid w:val="4CCE50CA"/>
    <w:rsid w:val="4D3A24A4"/>
    <w:rsid w:val="4D3E5E49"/>
    <w:rsid w:val="4D4374BE"/>
    <w:rsid w:val="4D5613EC"/>
    <w:rsid w:val="4D594475"/>
    <w:rsid w:val="4D762F64"/>
    <w:rsid w:val="4DA76772"/>
    <w:rsid w:val="4DB06342"/>
    <w:rsid w:val="4DCA372B"/>
    <w:rsid w:val="4DEC01C6"/>
    <w:rsid w:val="4DF158ED"/>
    <w:rsid w:val="4E0C3478"/>
    <w:rsid w:val="4E207448"/>
    <w:rsid w:val="4E49074A"/>
    <w:rsid w:val="4E4D0205"/>
    <w:rsid w:val="4E6B2029"/>
    <w:rsid w:val="4E8436BC"/>
    <w:rsid w:val="4EC83A06"/>
    <w:rsid w:val="4ED14454"/>
    <w:rsid w:val="4ED314E6"/>
    <w:rsid w:val="4F1C0A54"/>
    <w:rsid w:val="4F235FC8"/>
    <w:rsid w:val="4F2C3853"/>
    <w:rsid w:val="4F557A0B"/>
    <w:rsid w:val="4F7F20AA"/>
    <w:rsid w:val="4F873909"/>
    <w:rsid w:val="4F9510BA"/>
    <w:rsid w:val="4F9E3A2D"/>
    <w:rsid w:val="4FA843B3"/>
    <w:rsid w:val="4FF617D6"/>
    <w:rsid w:val="50234908"/>
    <w:rsid w:val="50507ECA"/>
    <w:rsid w:val="505E1269"/>
    <w:rsid w:val="506B2DFC"/>
    <w:rsid w:val="507968ED"/>
    <w:rsid w:val="508575E4"/>
    <w:rsid w:val="508F3931"/>
    <w:rsid w:val="50A06038"/>
    <w:rsid w:val="50DF2F2B"/>
    <w:rsid w:val="50E64646"/>
    <w:rsid w:val="50EA689B"/>
    <w:rsid w:val="50FC2CFB"/>
    <w:rsid w:val="511C1DF0"/>
    <w:rsid w:val="5124157A"/>
    <w:rsid w:val="513A3326"/>
    <w:rsid w:val="513B4B9D"/>
    <w:rsid w:val="51536EE0"/>
    <w:rsid w:val="515514FF"/>
    <w:rsid w:val="515C13CF"/>
    <w:rsid w:val="51694C1F"/>
    <w:rsid w:val="516A6684"/>
    <w:rsid w:val="518C6DB2"/>
    <w:rsid w:val="51A74466"/>
    <w:rsid w:val="51AF5989"/>
    <w:rsid w:val="51C51671"/>
    <w:rsid w:val="51E25CE3"/>
    <w:rsid w:val="51E261D3"/>
    <w:rsid w:val="51EA16FB"/>
    <w:rsid w:val="52061555"/>
    <w:rsid w:val="5223684A"/>
    <w:rsid w:val="52253098"/>
    <w:rsid w:val="52840BEF"/>
    <w:rsid w:val="52A32CE7"/>
    <w:rsid w:val="52A955AB"/>
    <w:rsid w:val="52FD227F"/>
    <w:rsid w:val="530437D0"/>
    <w:rsid w:val="532C26FC"/>
    <w:rsid w:val="53322A76"/>
    <w:rsid w:val="533E2F5E"/>
    <w:rsid w:val="5364385D"/>
    <w:rsid w:val="53A7747B"/>
    <w:rsid w:val="53C54AA3"/>
    <w:rsid w:val="53C62500"/>
    <w:rsid w:val="544C3D0B"/>
    <w:rsid w:val="547F5841"/>
    <w:rsid w:val="548117E3"/>
    <w:rsid w:val="548F0320"/>
    <w:rsid w:val="54A648D1"/>
    <w:rsid w:val="54D81A93"/>
    <w:rsid w:val="54DB29BD"/>
    <w:rsid w:val="54E44ED6"/>
    <w:rsid w:val="54F106B4"/>
    <w:rsid w:val="54F14C14"/>
    <w:rsid w:val="54FA5DFC"/>
    <w:rsid w:val="5529069B"/>
    <w:rsid w:val="55571991"/>
    <w:rsid w:val="558209AD"/>
    <w:rsid w:val="56612A75"/>
    <w:rsid w:val="566931AC"/>
    <w:rsid w:val="56854B68"/>
    <w:rsid w:val="56894032"/>
    <w:rsid w:val="56961C81"/>
    <w:rsid w:val="56B17CE2"/>
    <w:rsid w:val="56E05BFD"/>
    <w:rsid w:val="56F374FB"/>
    <w:rsid w:val="571C1A53"/>
    <w:rsid w:val="5738401A"/>
    <w:rsid w:val="57613A81"/>
    <w:rsid w:val="577E4EC0"/>
    <w:rsid w:val="57B21D48"/>
    <w:rsid w:val="57B57C15"/>
    <w:rsid w:val="57D83FAF"/>
    <w:rsid w:val="581141BB"/>
    <w:rsid w:val="58450E51"/>
    <w:rsid w:val="58532B7C"/>
    <w:rsid w:val="58A9349C"/>
    <w:rsid w:val="58C40B40"/>
    <w:rsid w:val="58C93537"/>
    <w:rsid w:val="58D81F5B"/>
    <w:rsid w:val="58F96D8E"/>
    <w:rsid w:val="592D06A1"/>
    <w:rsid w:val="59377DE6"/>
    <w:rsid w:val="59620232"/>
    <w:rsid w:val="59A00F56"/>
    <w:rsid w:val="59B24039"/>
    <w:rsid w:val="59DA5A4F"/>
    <w:rsid w:val="5A08392B"/>
    <w:rsid w:val="5A181496"/>
    <w:rsid w:val="5A31005C"/>
    <w:rsid w:val="5A3D3D8A"/>
    <w:rsid w:val="5A637CC1"/>
    <w:rsid w:val="5A7D54D1"/>
    <w:rsid w:val="5AC82D78"/>
    <w:rsid w:val="5AE55CE6"/>
    <w:rsid w:val="5AED713C"/>
    <w:rsid w:val="5AFF463D"/>
    <w:rsid w:val="5B0260D0"/>
    <w:rsid w:val="5B1B09BE"/>
    <w:rsid w:val="5B3D7266"/>
    <w:rsid w:val="5B4F6759"/>
    <w:rsid w:val="5B644B2A"/>
    <w:rsid w:val="5B723495"/>
    <w:rsid w:val="5B8D1AC1"/>
    <w:rsid w:val="5BA3592C"/>
    <w:rsid w:val="5BAB7539"/>
    <w:rsid w:val="5BCE0DEA"/>
    <w:rsid w:val="5BD42235"/>
    <w:rsid w:val="5C052306"/>
    <w:rsid w:val="5C0C620E"/>
    <w:rsid w:val="5C1163AD"/>
    <w:rsid w:val="5C2839CC"/>
    <w:rsid w:val="5C2871AB"/>
    <w:rsid w:val="5C610721"/>
    <w:rsid w:val="5C8A1CBA"/>
    <w:rsid w:val="5C8B6FF1"/>
    <w:rsid w:val="5CAD1F11"/>
    <w:rsid w:val="5CAF53B5"/>
    <w:rsid w:val="5CFE4143"/>
    <w:rsid w:val="5D13255A"/>
    <w:rsid w:val="5D2406CC"/>
    <w:rsid w:val="5D331782"/>
    <w:rsid w:val="5D4B44B2"/>
    <w:rsid w:val="5D502A92"/>
    <w:rsid w:val="5D5C65FC"/>
    <w:rsid w:val="5DAA6DD9"/>
    <w:rsid w:val="5DC93914"/>
    <w:rsid w:val="5DEC0CDE"/>
    <w:rsid w:val="5E0A301E"/>
    <w:rsid w:val="5E1B00BB"/>
    <w:rsid w:val="5E204AD7"/>
    <w:rsid w:val="5E2219E6"/>
    <w:rsid w:val="5E2735E1"/>
    <w:rsid w:val="5E3D0B3C"/>
    <w:rsid w:val="5E4C6102"/>
    <w:rsid w:val="5E6D4BC0"/>
    <w:rsid w:val="5EB85C89"/>
    <w:rsid w:val="5ED13E1C"/>
    <w:rsid w:val="5ED308EE"/>
    <w:rsid w:val="5ED707C1"/>
    <w:rsid w:val="5EE81CA5"/>
    <w:rsid w:val="5EEA5BA3"/>
    <w:rsid w:val="5F3E69CE"/>
    <w:rsid w:val="5F436E62"/>
    <w:rsid w:val="5F653A0A"/>
    <w:rsid w:val="5F687EFD"/>
    <w:rsid w:val="5F902A86"/>
    <w:rsid w:val="5FE11ED3"/>
    <w:rsid w:val="5FF127BD"/>
    <w:rsid w:val="6009519E"/>
    <w:rsid w:val="6025343B"/>
    <w:rsid w:val="603D2CDD"/>
    <w:rsid w:val="606D6DE0"/>
    <w:rsid w:val="60AD5F5F"/>
    <w:rsid w:val="60D525F3"/>
    <w:rsid w:val="60DB6927"/>
    <w:rsid w:val="60E30438"/>
    <w:rsid w:val="61127BCE"/>
    <w:rsid w:val="61187A4A"/>
    <w:rsid w:val="611E5441"/>
    <w:rsid w:val="612A16C7"/>
    <w:rsid w:val="612D3C7B"/>
    <w:rsid w:val="613600F8"/>
    <w:rsid w:val="617C2D8F"/>
    <w:rsid w:val="61826F89"/>
    <w:rsid w:val="62124EC9"/>
    <w:rsid w:val="62180407"/>
    <w:rsid w:val="62207064"/>
    <w:rsid w:val="622766B9"/>
    <w:rsid w:val="623E2101"/>
    <w:rsid w:val="62466EBB"/>
    <w:rsid w:val="62540353"/>
    <w:rsid w:val="62757735"/>
    <w:rsid w:val="627D4BA5"/>
    <w:rsid w:val="62947A1C"/>
    <w:rsid w:val="62A109BE"/>
    <w:rsid w:val="62CD6DE1"/>
    <w:rsid w:val="62E70A4E"/>
    <w:rsid w:val="62FD4A9D"/>
    <w:rsid w:val="63256184"/>
    <w:rsid w:val="632905BE"/>
    <w:rsid w:val="632C6FC4"/>
    <w:rsid w:val="634A6574"/>
    <w:rsid w:val="634B3FF6"/>
    <w:rsid w:val="63B27919"/>
    <w:rsid w:val="63DA517F"/>
    <w:rsid w:val="64460ECC"/>
    <w:rsid w:val="64475ABF"/>
    <w:rsid w:val="644F5E22"/>
    <w:rsid w:val="64681DB1"/>
    <w:rsid w:val="64902A98"/>
    <w:rsid w:val="64960795"/>
    <w:rsid w:val="64961979"/>
    <w:rsid w:val="64CB0AB0"/>
    <w:rsid w:val="64D843A5"/>
    <w:rsid w:val="64E46FA4"/>
    <w:rsid w:val="64FB6FD5"/>
    <w:rsid w:val="6512731D"/>
    <w:rsid w:val="652B7ADD"/>
    <w:rsid w:val="653E277C"/>
    <w:rsid w:val="657E520F"/>
    <w:rsid w:val="66053294"/>
    <w:rsid w:val="660718F0"/>
    <w:rsid w:val="661F24A6"/>
    <w:rsid w:val="663B46C9"/>
    <w:rsid w:val="663F30CF"/>
    <w:rsid w:val="668B2BC4"/>
    <w:rsid w:val="66E92C05"/>
    <w:rsid w:val="66F93E1B"/>
    <w:rsid w:val="66FC4F21"/>
    <w:rsid w:val="672214E7"/>
    <w:rsid w:val="6728083A"/>
    <w:rsid w:val="673A5AC2"/>
    <w:rsid w:val="674004DB"/>
    <w:rsid w:val="67413BF6"/>
    <w:rsid w:val="6755359A"/>
    <w:rsid w:val="67572FE1"/>
    <w:rsid w:val="67A7418D"/>
    <w:rsid w:val="67AF2BE7"/>
    <w:rsid w:val="67BA3C44"/>
    <w:rsid w:val="67D27C62"/>
    <w:rsid w:val="67D67A95"/>
    <w:rsid w:val="67DF6978"/>
    <w:rsid w:val="688B44B8"/>
    <w:rsid w:val="68990128"/>
    <w:rsid w:val="68CC107E"/>
    <w:rsid w:val="68D102AF"/>
    <w:rsid w:val="68D10D8E"/>
    <w:rsid w:val="694E04D2"/>
    <w:rsid w:val="695664EF"/>
    <w:rsid w:val="69653491"/>
    <w:rsid w:val="698044A5"/>
    <w:rsid w:val="69AF33F2"/>
    <w:rsid w:val="69E66B78"/>
    <w:rsid w:val="6A510F7A"/>
    <w:rsid w:val="6A63725B"/>
    <w:rsid w:val="6A7259EE"/>
    <w:rsid w:val="6AA604D9"/>
    <w:rsid w:val="6AA67E64"/>
    <w:rsid w:val="6AEB6209"/>
    <w:rsid w:val="6AF21A55"/>
    <w:rsid w:val="6B0D712F"/>
    <w:rsid w:val="6B180D44"/>
    <w:rsid w:val="6B28575B"/>
    <w:rsid w:val="6B472B04"/>
    <w:rsid w:val="6B827ED3"/>
    <w:rsid w:val="6BA5241E"/>
    <w:rsid w:val="6BD66216"/>
    <w:rsid w:val="6BDC479A"/>
    <w:rsid w:val="6BE4485D"/>
    <w:rsid w:val="6BFE3795"/>
    <w:rsid w:val="6C1E113E"/>
    <w:rsid w:val="6C2E7C06"/>
    <w:rsid w:val="6C3346CE"/>
    <w:rsid w:val="6C3A1127"/>
    <w:rsid w:val="6C3B11AE"/>
    <w:rsid w:val="6C3B431E"/>
    <w:rsid w:val="6C4A4ABA"/>
    <w:rsid w:val="6C523B19"/>
    <w:rsid w:val="6C593462"/>
    <w:rsid w:val="6C857DA8"/>
    <w:rsid w:val="6CC1587C"/>
    <w:rsid w:val="6CFD2B22"/>
    <w:rsid w:val="6CFE0842"/>
    <w:rsid w:val="6D1A3941"/>
    <w:rsid w:val="6D266267"/>
    <w:rsid w:val="6D2B74AA"/>
    <w:rsid w:val="6D697BC3"/>
    <w:rsid w:val="6D7111BC"/>
    <w:rsid w:val="6DBF311C"/>
    <w:rsid w:val="6DCA5CB9"/>
    <w:rsid w:val="6DFB10AF"/>
    <w:rsid w:val="6E08583A"/>
    <w:rsid w:val="6E1B1620"/>
    <w:rsid w:val="6E280F38"/>
    <w:rsid w:val="6E5408E4"/>
    <w:rsid w:val="6E5C28C7"/>
    <w:rsid w:val="6E872AE9"/>
    <w:rsid w:val="6E8A21F7"/>
    <w:rsid w:val="6EA53B42"/>
    <w:rsid w:val="6ECB7942"/>
    <w:rsid w:val="6EE808EB"/>
    <w:rsid w:val="6EFC69C0"/>
    <w:rsid w:val="6F000F0B"/>
    <w:rsid w:val="6F024B82"/>
    <w:rsid w:val="6F197436"/>
    <w:rsid w:val="6F2867BD"/>
    <w:rsid w:val="6F424FE7"/>
    <w:rsid w:val="6F44559B"/>
    <w:rsid w:val="6F667C11"/>
    <w:rsid w:val="6F9C2385"/>
    <w:rsid w:val="6FC00FFA"/>
    <w:rsid w:val="70115BE8"/>
    <w:rsid w:val="703A2630"/>
    <w:rsid w:val="70561E49"/>
    <w:rsid w:val="7069200A"/>
    <w:rsid w:val="709C594C"/>
    <w:rsid w:val="70C723A5"/>
    <w:rsid w:val="70E007BD"/>
    <w:rsid w:val="71047CD7"/>
    <w:rsid w:val="713C63BF"/>
    <w:rsid w:val="71556A97"/>
    <w:rsid w:val="718A79D3"/>
    <w:rsid w:val="718D1D60"/>
    <w:rsid w:val="71D0045B"/>
    <w:rsid w:val="71D05F49"/>
    <w:rsid w:val="71F773F9"/>
    <w:rsid w:val="720F4381"/>
    <w:rsid w:val="72110CF5"/>
    <w:rsid w:val="725E4C39"/>
    <w:rsid w:val="72800D34"/>
    <w:rsid w:val="728D36C3"/>
    <w:rsid w:val="72C37927"/>
    <w:rsid w:val="72D92B77"/>
    <w:rsid w:val="72FC0FE5"/>
    <w:rsid w:val="73090FE2"/>
    <w:rsid w:val="73265607"/>
    <w:rsid w:val="733211BD"/>
    <w:rsid w:val="733512A4"/>
    <w:rsid w:val="73522B35"/>
    <w:rsid w:val="73714E70"/>
    <w:rsid w:val="737D35DF"/>
    <w:rsid w:val="7399271A"/>
    <w:rsid w:val="73C62357"/>
    <w:rsid w:val="73CA76A4"/>
    <w:rsid w:val="73D56A1E"/>
    <w:rsid w:val="73EA0454"/>
    <w:rsid w:val="73EC173C"/>
    <w:rsid w:val="73F82EA2"/>
    <w:rsid w:val="7435596C"/>
    <w:rsid w:val="74412603"/>
    <w:rsid w:val="7454328B"/>
    <w:rsid w:val="74722C9A"/>
    <w:rsid w:val="747E452E"/>
    <w:rsid w:val="74880357"/>
    <w:rsid w:val="74942572"/>
    <w:rsid w:val="74A647DF"/>
    <w:rsid w:val="74C0187C"/>
    <w:rsid w:val="74FA5A4A"/>
    <w:rsid w:val="751A36A3"/>
    <w:rsid w:val="754B57C9"/>
    <w:rsid w:val="755F161D"/>
    <w:rsid w:val="75884210"/>
    <w:rsid w:val="75944E94"/>
    <w:rsid w:val="75A85FF2"/>
    <w:rsid w:val="75BD4A84"/>
    <w:rsid w:val="75EA7003"/>
    <w:rsid w:val="75F038B8"/>
    <w:rsid w:val="760D56E2"/>
    <w:rsid w:val="763F0D5A"/>
    <w:rsid w:val="76A740B5"/>
    <w:rsid w:val="76EE218C"/>
    <w:rsid w:val="771D0044"/>
    <w:rsid w:val="772E0B03"/>
    <w:rsid w:val="77397F47"/>
    <w:rsid w:val="773C532B"/>
    <w:rsid w:val="77552F6F"/>
    <w:rsid w:val="775976FD"/>
    <w:rsid w:val="77642276"/>
    <w:rsid w:val="778A542A"/>
    <w:rsid w:val="77BE43F7"/>
    <w:rsid w:val="77C177F8"/>
    <w:rsid w:val="77DB3F30"/>
    <w:rsid w:val="77EF5E51"/>
    <w:rsid w:val="781B13B7"/>
    <w:rsid w:val="78685093"/>
    <w:rsid w:val="787631CA"/>
    <w:rsid w:val="789A3CEC"/>
    <w:rsid w:val="78C2063C"/>
    <w:rsid w:val="78E87E56"/>
    <w:rsid w:val="791D1679"/>
    <w:rsid w:val="79315D64"/>
    <w:rsid w:val="79332F0B"/>
    <w:rsid w:val="796923D7"/>
    <w:rsid w:val="797265CF"/>
    <w:rsid w:val="79886E4E"/>
    <w:rsid w:val="79A3351B"/>
    <w:rsid w:val="79C11BD2"/>
    <w:rsid w:val="79E8078D"/>
    <w:rsid w:val="79FD7CEF"/>
    <w:rsid w:val="7A104F55"/>
    <w:rsid w:val="7A1A1C0E"/>
    <w:rsid w:val="7A3422EE"/>
    <w:rsid w:val="7A4774F3"/>
    <w:rsid w:val="7A5B32BE"/>
    <w:rsid w:val="7AA33336"/>
    <w:rsid w:val="7AA521F0"/>
    <w:rsid w:val="7AA678C6"/>
    <w:rsid w:val="7AB92338"/>
    <w:rsid w:val="7AF02BB9"/>
    <w:rsid w:val="7B016CDB"/>
    <w:rsid w:val="7B036915"/>
    <w:rsid w:val="7B096FF0"/>
    <w:rsid w:val="7B113087"/>
    <w:rsid w:val="7B230F9F"/>
    <w:rsid w:val="7B4925CA"/>
    <w:rsid w:val="7B5441DD"/>
    <w:rsid w:val="7B82355E"/>
    <w:rsid w:val="7B86249B"/>
    <w:rsid w:val="7B9D3F28"/>
    <w:rsid w:val="7B9E2E7D"/>
    <w:rsid w:val="7BA5186C"/>
    <w:rsid w:val="7BB92BA6"/>
    <w:rsid w:val="7BBC519D"/>
    <w:rsid w:val="7BD11BAD"/>
    <w:rsid w:val="7BD13460"/>
    <w:rsid w:val="7BDA2FE2"/>
    <w:rsid w:val="7BDE2E46"/>
    <w:rsid w:val="7BEA35A6"/>
    <w:rsid w:val="7BEB3AA1"/>
    <w:rsid w:val="7C050B07"/>
    <w:rsid w:val="7C33238E"/>
    <w:rsid w:val="7C580C52"/>
    <w:rsid w:val="7C824F1B"/>
    <w:rsid w:val="7C9E7A01"/>
    <w:rsid w:val="7CE426F4"/>
    <w:rsid w:val="7D0A644C"/>
    <w:rsid w:val="7D2E186E"/>
    <w:rsid w:val="7D505FEA"/>
    <w:rsid w:val="7D7D6280"/>
    <w:rsid w:val="7D897469"/>
    <w:rsid w:val="7D8F4D8B"/>
    <w:rsid w:val="7D9B444B"/>
    <w:rsid w:val="7DBA4407"/>
    <w:rsid w:val="7DC977E9"/>
    <w:rsid w:val="7DD14D63"/>
    <w:rsid w:val="7DE2201F"/>
    <w:rsid w:val="7E04089A"/>
    <w:rsid w:val="7E0773D0"/>
    <w:rsid w:val="7E107503"/>
    <w:rsid w:val="7E256583"/>
    <w:rsid w:val="7E4577B8"/>
    <w:rsid w:val="7E5B40FE"/>
    <w:rsid w:val="7E5D66DD"/>
    <w:rsid w:val="7E734104"/>
    <w:rsid w:val="7E7C3173"/>
    <w:rsid w:val="7EBC71A1"/>
    <w:rsid w:val="7EC271C9"/>
    <w:rsid w:val="7EEE5FCC"/>
    <w:rsid w:val="7EEE71B8"/>
    <w:rsid w:val="7EFB4946"/>
    <w:rsid w:val="7F2870AA"/>
    <w:rsid w:val="7F2E279D"/>
    <w:rsid w:val="7F46457A"/>
    <w:rsid w:val="7F5F09C9"/>
    <w:rsid w:val="7F5F5BF2"/>
    <w:rsid w:val="7F60044C"/>
    <w:rsid w:val="7F693964"/>
    <w:rsid w:val="7F6A3397"/>
    <w:rsid w:val="7F7054DF"/>
    <w:rsid w:val="7F724CCB"/>
    <w:rsid w:val="7F7261FE"/>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paragraph" w:customStyle="1" w:styleId="116">
    <w:name w:val="00 BodyText"/>
    <w:basedOn w:val="1"/>
    <w:qFormat/>
    <w:uiPriority w:val="0"/>
    <w:pPr>
      <w:spacing w:after="220"/>
    </w:pPr>
    <w:rPr>
      <w:rFonts w:ascii="Arial" w:hAnsi="Arial"/>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6</Pages>
  <Words>1139</Words>
  <Characters>6496</Characters>
  <Lines>54</Lines>
  <Paragraphs>15</Paragraphs>
  <TotalTime>0</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2025-08-15T01:39:44Z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CFE9F7D1B10F45279FF6166CE26F67D4_13</vt:lpwstr>
  </property>
</Properties>
</file>